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66" w:rsidRDefault="00F01666" w:rsidP="00F01666">
      <w:pPr>
        <w:widowControl/>
        <w:shd w:val="clear" w:color="auto" w:fill="FFFFFF"/>
        <w:spacing w:line="555" w:lineRule="atLeast"/>
        <w:rPr>
          <w:rFonts w:ascii="文星仿宋" w:eastAsia="文星仿宋" w:hAnsi="微软雅黑" w:cs="宋体" w:hint="eastAsia"/>
          <w:color w:val="000000"/>
          <w:kern w:val="0"/>
          <w:sz w:val="32"/>
          <w:szCs w:val="32"/>
        </w:rPr>
      </w:pPr>
      <w:r>
        <w:rPr>
          <w:rFonts w:ascii="文星仿宋" w:eastAsia="文星仿宋" w:hAnsi="微软雅黑" w:cs="宋体" w:hint="eastAsia"/>
          <w:color w:val="000000"/>
          <w:kern w:val="0"/>
          <w:sz w:val="32"/>
          <w:szCs w:val="32"/>
        </w:rPr>
        <w:t>附件1：</w:t>
      </w:r>
    </w:p>
    <w:p w:rsidR="00F01666" w:rsidRDefault="00F01666" w:rsidP="00F01666">
      <w:pPr>
        <w:widowControl/>
        <w:shd w:val="clear" w:color="auto" w:fill="FFFFFF"/>
        <w:spacing w:line="360" w:lineRule="auto"/>
        <w:jc w:val="center"/>
        <w:rPr>
          <w:rFonts w:ascii="文星黑体" w:eastAsia="文星黑体" w:hAnsi="文星黑体" w:cs="文星黑体" w:hint="eastAsia"/>
          <w:color w:val="000000"/>
          <w:kern w:val="0"/>
          <w:sz w:val="44"/>
          <w:szCs w:val="44"/>
        </w:rPr>
      </w:pPr>
      <w:bookmarkStart w:id="0" w:name="_GoBack"/>
      <w:r>
        <w:rPr>
          <w:rFonts w:ascii="文星黑体" w:eastAsia="文星黑体" w:hAnsi="文星黑体" w:cs="文星黑体" w:hint="eastAsia"/>
          <w:color w:val="000000"/>
          <w:kern w:val="0"/>
          <w:sz w:val="44"/>
          <w:szCs w:val="44"/>
        </w:rPr>
        <w:t>教育门户网站评价指标体系</w:t>
      </w:r>
      <w:bookmarkEnd w:id="0"/>
    </w:p>
    <w:p w:rsidR="00F01666" w:rsidRDefault="00F01666" w:rsidP="00F01666">
      <w:pPr>
        <w:widowControl/>
        <w:shd w:val="clear" w:color="auto" w:fill="FFFFFF"/>
        <w:spacing w:line="360" w:lineRule="auto"/>
        <w:jc w:val="center"/>
        <w:rPr>
          <w:rFonts w:ascii="文星黑体" w:eastAsia="文星黑体" w:hAnsi="微软雅黑" w:cs="宋体" w:hint="eastAsia"/>
          <w:color w:val="000000"/>
          <w:kern w:val="0"/>
          <w:sz w:val="10"/>
          <w:szCs w:val="10"/>
        </w:rPr>
      </w:pPr>
    </w:p>
    <w:tbl>
      <w:tblPr>
        <w:tblW w:w="97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1146"/>
        <w:gridCol w:w="6608"/>
        <w:gridCol w:w="860"/>
      </w:tblGrid>
      <w:tr w:rsidR="00F01666" w:rsidTr="004119E8">
        <w:trPr>
          <w:trHeight w:val="159"/>
          <w:jc w:val="center"/>
        </w:trPr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一级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二级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660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 体 标 准</w:t>
            </w:r>
          </w:p>
        </w:tc>
        <w:tc>
          <w:tcPr>
            <w:tcW w:w="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分值</w:t>
            </w:r>
          </w:p>
        </w:tc>
      </w:tr>
      <w:tr w:rsidR="00F01666" w:rsidTr="004119E8">
        <w:trPr>
          <w:trHeight w:val="361"/>
          <w:jc w:val="center"/>
        </w:trPr>
        <w:tc>
          <w:tcPr>
            <w:tcW w:w="11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组织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（13分）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体制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（8分）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有明确的分管领导负责人。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01666" w:rsidTr="004119E8">
        <w:trPr>
          <w:trHeight w:val="41"/>
          <w:jc w:val="center"/>
        </w:trPr>
        <w:tc>
          <w:tcPr>
            <w:tcW w:w="11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01666" w:rsidRDefault="00F01666" w:rsidP="004119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有专门技术和管理人员，信息安全落实到人。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01666" w:rsidTr="004119E8">
        <w:trPr>
          <w:trHeight w:val="482"/>
          <w:jc w:val="center"/>
        </w:trPr>
        <w:tc>
          <w:tcPr>
            <w:tcW w:w="11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01666" w:rsidRDefault="00F01666" w:rsidP="004119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有网站管理员工作职责。当管理员变更后，及时通知数字化校园建设规划处更新备案。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01666" w:rsidTr="004119E8">
        <w:trPr>
          <w:trHeight w:val="41"/>
          <w:jc w:val="center"/>
        </w:trPr>
        <w:tc>
          <w:tcPr>
            <w:tcW w:w="11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01666" w:rsidRDefault="00F01666" w:rsidP="004119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有网站设计整体规划。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F01666" w:rsidTr="004119E8">
        <w:trPr>
          <w:trHeight w:val="41"/>
          <w:jc w:val="center"/>
        </w:trPr>
        <w:tc>
          <w:tcPr>
            <w:tcW w:w="11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机制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有信息发布审核机制等。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F01666" w:rsidTr="004119E8">
        <w:trPr>
          <w:trHeight w:val="422"/>
          <w:jc w:val="center"/>
        </w:trPr>
        <w:tc>
          <w:tcPr>
            <w:tcW w:w="11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版面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美化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版面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美化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版面设计新颖，布局合理，层次分明。复杂度适当，页面美观大方、文字图片等编排整齐，突显活动主题。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F01666" w:rsidTr="004119E8">
        <w:trPr>
          <w:trHeight w:val="966"/>
          <w:jc w:val="center"/>
        </w:trPr>
        <w:tc>
          <w:tcPr>
            <w:tcW w:w="115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网站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（62分）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首页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设计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（22分）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首页能清晰展现庆祝建州70周年主题。网站标题或LOGO以图片等形式表现，表现力强。整体版面美观大方。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F01666" w:rsidTr="004119E8">
        <w:trPr>
          <w:trHeight w:val="1585"/>
          <w:jc w:val="center"/>
        </w:trPr>
        <w:tc>
          <w:tcPr>
            <w:tcW w:w="11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栏目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设置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栏目定位清晰，科学合理，能根据部门特点设置栏目，各栏目内容完整，无缺失项。网站一级栏目是否全面，一般应包含学院概况、机构设置、师资队伍、人才培养、教学科研、新闻动态、学生工作、招生就业、通知公告、联系方式等栏目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F01666" w:rsidTr="004119E8">
        <w:trPr>
          <w:trHeight w:val="322"/>
          <w:jc w:val="center"/>
        </w:trPr>
        <w:tc>
          <w:tcPr>
            <w:tcW w:w="11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内容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维护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网站各栏目内容完整，更新及时。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F01666" w:rsidTr="004119E8">
        <w:trPr>
          <w:trHeight w:val="411"/>
          <w:jc w:val="center"/>
        </w:trPr>
        <w:tc>
          <w:tcPr>
            <w:tcW w:w="11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01666" w:rsidRDefault="00F01666" w:rsidP="004119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页面设计合理，在几种主流浏览器下打开没有页面无法打开、乱码、文字图片变形，没有表格错行，文字错位的想象。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F01666" w:rsidTr="004119E8">
        <w:trPr>
          <w:trHeight w:val="41"/>
          <w:jc w:val="center"/>
        </w:trPr>
        <w:tc>
          <w:tcPr>
            <w:tcW w:w="11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01666" w:rsidRDefault="00F01666" w:rsidP="004119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及时发布新闻类动态栏目、公告、通知、学术报告等信息。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F01666" w:rsidTr="004119E8">
        <w:trPr>
          <w:trHeight w:val="548"/>
          <w:jc w:val="center"/>
        </w:trPr>
        <w:tc>
          <w:tcPr>
            <w:tcW w:w="115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校本资源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66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建立了校本资源库，目录清晰，资源充实丰富。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F01666" w:rsidTr="004119E8">
        <w:trPr>
          <w:trHeight w:val="1153"/>
          <w:jc w:val="center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网站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安全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(5分)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安全</w:t>
            </w:r>
          </w:p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(5分)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未发布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涉密信息及不良信息。 本条实行评优一票否决制，一经发现取消评优资格。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01666" w:rsidRDefault="00F01666" w:rsidP="004119E8">
            <w:pPr>
              <w:widowControl/>
              <w:jc w:val="center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</w:tr>
    </w:tbl>
    <w:p w:rsidR="00BD1556" w:rsidRDefault="00BD1556"/>
    <w:sectPr w:rsidR="00BD1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文星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66"/>
    <w:rsid w:val="00BD1556"/>
    <w:rsid w:val="00F0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6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6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Company>china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2022-04-07T06:53:00Z</dcterms:created>
  <dcterms:modified xsi:type="dcterms:W3CDTF">2022-04-07T06:54:00Z</dcterms:modified>
</cp:coreProperties>
</file>