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630" w:firstLineChars="196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_GB2312" w:eastAsia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常规项目</w:t>
      </w:r>
      <w:r>
        <w:rPr>
          <w:rFonts w:hint="eastAsia" w:ascii="仿宋_GB2312" w:eastAsia="仿宋_GB2312"/>
          <w:b/>
          <w:bCs/>
          <w:sz w:val="32"/>
          <w:szCs w:val="32"/>
        </w:rPr>
        <w:t>组织单位作品推荐参考指标</w:t>
      </w:r>
    </w:p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1．课件</w:t>
      </w:r>
    </w:p>
    <w:tbl>
      <w:tblPr>
        <w:tblStyle w:val="3"/>
        <w:tblW w:w="7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内容呈现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素材选用恰当，生动直观、结构合理。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技术运用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互动性强，导航准确，路径合理；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能够运用于实际教学中，有推广价值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高等教育组作品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使用量应达到一定规模。</w:t>
            </w:r>
          </w:p>
        </w:tc>
      </w:tr>
    </w:tbl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>2</w:t>
      </w:r>
      <w:r>
        <w:rPr>
          <w:rFonts w:hint="eastAsia" w:ascii="仿宋_GB2312" w:hAnsi="宋体" w:eastAsia="仿宋_GB2312"/>
          <w:sz w:val="28"/>
        </w:rPr>
        <w:t>．微课</w:t>
      </w:r>
    </w:p>
    <w:tbl>
      <w:tblPr>
        <w:tblStyle w:val="3"/>
        <w:tblW w:w="74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体现新课标的理念,主题明确、重难点突出；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教学行为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eastAsia="仿宋_GB2312"/>
          <w:sz w:val="28"/>
          <w:szCs w:val="28"/>
        </w:rPr>
        <w:t>融合创新应用教学案例</w:t>
      </w:r>
    </w:p>
    <w:tbl>
      <w:tblPr>
        <w:tblStyle w:val="3"/>
        <w:tblW w:w="7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体现“以学习者为中心”的课程改革理念；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教学设计完整，包括教学目标、教学内容、教学实施和教学评价等；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教学环境设施满足需求，有特色，教学情境符合教学目标和对象的要求；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教学资源选择恰当，形式多样；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注重学科特点，信息技术应用恰当。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教学应用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教学方式多样；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有利于形成基于信息化的教育教学模式。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有常态化应用，学生深度参与，活跃度高，教学效果突出；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好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创新人才培养模式，提高学生的能力素质。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具有一定的示范推广价值。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hAnsi="Courier New" w:eastAsia="仿宋_GB2312" w:cs="Courier New"/>
          <w:sz w:val="28"/>
          <w:szCs w:val="28"/>
        </w:rPr>
        <w:t>信息化教学课程案例</w:t>
      </w:r>
    </w:p>
    <w:tbl>
      <w:tblPr>
        <w:tblStyle w:val="3"/>
        <w:tblW w:w="74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信息化软硬件</w:t>
            </w:r>
            <w:r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，有</w:t>
            </w:r>
            <w:r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教学实施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</w:tbl>
    <w:p>
      <w:pPr>
        <w:widowControl/>
        <w:spacing w:line="440" w:lineRule="exact"/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Times New Roman"/>
          <w:sz w:val="32"/>
          <w:szCs w:val="32"/>
        </w:rPr>
        <w:t>职业教育实践性教学案例推荐参考指标</w:t>
      </w:r>
    </w:p>
    <w:tbl>
      <w:tblPr>
        <w:tblStyle w:val="6"/>
        <w:tblW w:w="74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5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65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579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教学设计</w:t>
            </w: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教学设计完整，包括教学目标、教学内容、教学实施、教学评价等，主题鲜明、重难点突出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教学策略和教学方法选用恰当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合理运用信息技术手段，突出专业特色，教学媒体运用适宜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内容呈现</w:t>
            </w: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教学内容选取适当，相对稳定、独立完整，精准对位岗位能力和企业需要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呈现方式科学合理，语言简洁，表述准确，术语规范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注重交互设计，充分调动学生主动性和积极性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54" w:type="dxa"/>
            <w:vMerge w:val="restart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教学实施</w:t>
            </w:r>
          </w:p>
        </w:tc>
        <w:tc>
          <w:tcPr>
            <w:tcW w:w="57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教学活动过程完整，材料齐全、丰富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有常态化教学应用，有利于形成基于信息化教育教学模式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54" w:type="dxa"/>
            <w:vMerge w:val="restart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应用与创新</w:t>
            </w:r>
          </w:p>
        </w:tc>
        <w:tc>
          <w:tcPr>
            <w:tcW w:w="57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在课程建设、教学实施、资源共享、机制创新等方面有一定特色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>
      <w:pPr>
        <w:widowControl/>
        <w:spacing w:line="440" w:lineRule="exact"/>
        <w:jc w:val="left"/>
        <w:rPr>
          <w:rFonts w:ascii="仿宋_GB2312" w:hAnsi="宋体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</w:rPr>
        <w:t>职业教育虚拟仿真教学案例推荐参考指标</w:t>
      </w:r>
    </w:p>
    <w:tbl>
      <w:tblPr>
        <w:tblStyle w:val="6"/>
        <w:tblW w:w="76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5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65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599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教学设计</w:t>
            </w: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教学设计规范，包括教学目标、教学内容、教学实施、教学评价等，主题鲜明、重难点突出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教学策略和教学方法选用得当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虚拟仿真系统运用科学、合理，解决教学中的瓶颈难题，突出专业特色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内容呈现</w:t>
            </w: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教学内容选取适当，相对稳定、独立完整，精准对位岗位能力培养和企业发展需要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呈现方式科学合理，语言简洁，表述准确，术语规范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注重交互设计，充分调动学生主动性和积极性，满足自主学习和技能训练需要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54" w:type="dxa"/>
            <w:vMerge w:val="restart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教学实施</w:t>
            </w:r>
          </w:p>
        </w:tc>
        <w:tc>
          <w:tcPr>
            <w:tcW w:w="5996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教学活动过程完整，材料齐全、丰富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有常态化教学应用，有利于形成基于虚拟仿真系统的教育教学模式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54" w:type="dxa"/>
            <w:vMerge w:val="restart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应用与创新</w:t>
            </w:r>
          </w:p>
        </w:tc>
        <w:tc>
          <w:tcPr>
            <w:tcW w:w="5996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在课程建设、教学实施、资源共建共享、实践性教学改革、机制创新等方面有一定特色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54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</w:rPr>
        <w:t>职业教育数字教材推荐参考指标</w:t>
      </w:r>
    </w:p>
    <w:tbl>
      <w:tblPr>
        <w:tblStyle w:val="3"/>
        <w:tblW w:w="887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722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64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教材内容</w:t>
            </w: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思想观点正确，无政治性、科学性错误。突出立德树人为本，注重培育和践行社会主义核心价值观，融入课程思政相关内容。体现知行合一、工学结合、校企深度合作理念，创新能力、工匠精神、职业精神的培养贯穿教材始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结构设计完整规范，以真实生产项目、典型工作任务、案例等为载体设计和组织教学内容，各模块/项目之间层次分明，结构清晰，突出结构化、模块化教学特征，符合行动逻辑、工作逻辑、产学研融合的要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教学目标明确，符合技术技能人才成长规律、课程内在逻辑体系和学生认知发展规律，课程建设与教材开发同步推进，取材得当，支持学生自主学习和教师教学需求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媒体设计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多媒体教学资源适度、丰富，格式选用恰当，体现专业或课程特色，所有多媒体资源均可正常打开和查看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应用与创新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在教学中开展了实践应用，创新了教学模式，取得较好的教学效果，具有一定示范推广价值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属于新兴专业、薄弱专业、新增和内涵升级明显的专业课程数字教材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充分体现工学结合，注重培养职业迁移能力，合理融入立德树人、课程思政内容，培养学生自主学习能力和职业素养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技术规范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>
      <w:pPr>
        <w:widowControl/>
        <w:jc w:val="center"/>
        <w:rPr>
          <w:rFonts w:ascii="方正小标宋简体" w:hAnsi="Times New Roman" w:eastAsia="方正小标宋简体" w:cs="Times New Roman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</w:rPr>
        <w:t>职业教育数字教材样章推荐参考指标</w:t>
      </w:r>
    </w:p>
    <w:tbl>
      <w:tblPr>
        <w:tblStyle w:val="3"/>
        <w:tblW w:w="8263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68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394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2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教材内容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思想观点正确，符合辩正唯物主义，无政治性、科学性错误。突出立德树人为本，注重培育和践行社会主义核心价值观，融入课程思政相关内容。体现知行合一、工学结合、校企深度合作理念，创新能力、工匠精神、职业精神的培养贯穿教材始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样章取材得当，内容独立、完整，容量适宜，具有较好的代表性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教学目标明确，符合技术技能人才成长规律、课程内在逻辑体系和学生认知发展规律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以真实生产项目、典型工作任务、案例等为载体设计和组织教学内容，突出结构化、模块化教学特征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教材设计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教材目录体系设计清晰，层次递进，体现整本教材设计思路和模块化设计理念，具有一定扩展性，便于灵活更新教材内容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媒体设计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多媒体教学资源丰富，格式选用恰当，体现专业或课程特色，所有多媒体资源均可正常打开和查看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技术规范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YTBkYWJhODdkYzMwZDc0OWUzYmQ5MGEyMWZmMGQifQ=="/>
  </w:docVars>
  <w:rsids>
    <w:rsidRoot w:val="00000000"/>
    <w:rsid w:val="26C72837"/>
    <w:rsid w:val="270E009F"/>
    <w:rsid w:val="32790B1D"/>
    <w:rsid w:val="36C1551F"/>
    <w:rsid w:val="376E3375"/>
    <w:rsid w:val="42051E29"/>
    <w:rsid w:val="441A154C"/>
    <w:rsid w:val="482F43C6"/>
    <w:rsid w:val="63535997"/>
    <w:rsid w:val="64526DC7"/>
    <w:rsid w:val="6E9313EA"/>
    <w:rsid w:val="70983504"/>
    <w:rsid w:val="783534C8"/>
    <w:rsid w:val="7AE7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6">
    <w:name w:val="网格型1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975</Words>
  <Characters>975</Characters>
  <Lines>0</Lines>
  <Paragraphs>0</Paragraphs>
  <TotalTime>1</TotalTime>
  <ScaleCrop>false</ScaleCrop>
  <LinksUpToDate>false</LinksUpToDate>
  <CharactersWithSpaces>976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Administrator</cp:lastModifiedBy>
  <dcterms:modified xsi:type="dcterms:W3CDTF">2023-04-28T02:22:36Z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7E0489FBBA984699B802CA31D09B3E19</vt:lpwstr>
  </property>
</Properties>
</file>