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CE" w:rsidRDefault="00AA4ECE">
      <w:pPr>
        <w:spacing w:line="360" w:lineRule="auto"/>
        <w:ind w:leftChars="50" w:left="105"/>
        <w:jc w:val="center"/>
        <w:rPr>
          <w:rFonts w:ascii="宋体" w:hAnsi="宋体"/>
          <w:b/>
          <w:bCs/>
          <w:color w:val="000000" w:themeColor="text1"/>
          <w:sz w:val="36"/>
          <w:szCs w:val="36"/>
        </w:rPr>
      </w:pPr>
      <w:bookmarkStart w:id="0" w:name="_Hlk72504801"/>
      <w:bookmarkStart w:id="1" w:name="_GoBack"/>
      <w:bookmarkEnd w:id="1"/>
    </w:p>
    <w:bookmarkEnd w:id="0"/>
    <w:p w:rsidR="00AA4ECE" w:rsidRDefault="00126FA0" w:rsidP="00762520">
      <w:pPr>
        <w:spacing w:line="360" w:lineRule="auto"/>
        <w:ind w:leftChars="50" w:left="105"/>
        <w:jc w:val="center"/>
        <w:rPr>
          <w:rFonts w:ascii="宋体" w:hAnsi="宋体" w:cs="宋体"/>
          <w:b/>
          <w:color w:val="000000" w:themeColor="text1"/>
          <w:sz w:val="36"/>
          <w:szCs w:val="36"/>
        </w:rPr>
      </w:pPr>
      <w:r>
        <w:rPr>
          <w:rFonts w:ascii="宋体" w:hAnsi="宋体" w:cs="宋体" w:hint="eastAsia"/>
          <w:b/>
          <w:color w:val="000000" w:themeColor="text1"/>
          <w:sz w:val="36"/>
          <w:szCs w:val="36"/>
        </w:rPr>
        <w:t>2023年度吉林省“‘国家通用语言编程（中文代码）’数字教育教学资源征集活动”指南</w:t>
      </w:r>
    </w:p>
    <w:p w:rsidR="00AA4ECE" w:rsidRDefault="00AA4ECE">
      <w:pPr>
        <w:spacing w:line="360" w:lineRule="auto"/>
        <w:ind w:leftChars="50" w:left="105"/>
        <w:jc w:val="center"/>
        <w:rPr>
          <w:rFonts w:ascii="宋体" w:hAnsi="宋体" w:cs="宋体"/>
          <w:b/>
          <w:color w:val="000000" w:themeColor="text1"/>
          <w:sz w:val="36"/>
          <w:szCs w:val="36"/>
        </w:rPr>
      </w:pPr>
    </w:p>
    <w:p w:rsidR="00AA4ECE" w:rsidRDefault="00126FA0">
      <w:pPr>
        <w:pStyle w:val="a7"/>
        <w:spacing w:line="360" w:lineRule="auto"/>
        <w:ind w:firstLine="640"/>
        <w:rPr>
          <w:rFonts w:ascii="仿宋" w:eastAsia="仿宋" w:hAnsi="仿宋"/>
          <w:color w:val="000000" w:themeColor="text1"/>
          <w:sz w:val="32"/>
          <w:szCs w:val="32"/>
        </w:rPr>
      </w:pPr>
      <w:r>
        <w:rPr>
          <w:rFonts w:ascii="黑体" w:eastAsia="黑体" w:hAnsi="黑体" w:cs="黑体" w:hint="eastAsia"/>
          <w:color w:val="000000" w:themeColor="text1"/>
          <w:sz w:val="32"/>
          <w:szCs w:val="32"/>
        </w:rPr>
        <w:t>一、活</w:t>
      </w:r>
      <w:r>
        <w:rPr>
          <w:rFonts w:ascii="黑体" w:eastAsia="黑体" w:hAnsi="黑体" w:hint="eastAsia"/>
          <w:color w:val="000000" w:themeColor="text1"/>
          <w:sz w:val="32"/>
          <w:szCs w:val="32"/>
        </w:rPr>
        <w:t>动简介</w:t>
      </w:r>
    </w:p>
    <w:p w:rsidR="00AA4ECE" w:rsidRDefault="00126FA0">
      <w:pPr>
        <w:widowControl/>
        <w:spacing w:line="360" w:lineRule="auto"/>
        <w:ind w:firstLineChars="200" w:firstLine="620"/>
        <w:rPr>
          <w:rFonts w:ascii="仿宋" w:eastAsia="仿宋" w:hAnsi="仿宋"/>
          <w:color w:val="000000" w:themeColor="text1"/>
          <w:sz w:val="32"/>
          <w:szCs w:val="32"/>
        </w:rPr>
      </w:pPr>
      <w:r>
        <w:rPr>
          <w:rFonts w:ascii="仿宋_GB2312" w:eastAsia="仿宋_GB2312" w:hAnsi="宋体" w:cs="仿宋_GB2312"/>
          <w:color w:val="000000" w:themeColor="text1"/>
          <w:kern w:val="0"/>
          <w:sz w:val="31"/>
          <w:szCs w:val="31"/>
          <w:lang w:bidi="ar"/>
        </w:rPr>
        <w:t>以</w:t>
      </w:r>
      <w:r>
        <w:rPr>
          <w:rFonts w:ascii="仿宋_GB2312" w:eastAsia="仿宋_GB2312" w:cs="仿宋_GB2312" w:hint="eastAsia"/>
          <w:color w:val="000000" w:themeColor="text1"/>
          <w:sz w:val="31"/>
          <w:szCs w:val="31"/>
        </w:rPr>
        <w:t>习近平新时代中国特色社会主义思想为指导，</w:t>
      </w:r>
      <w:r>
        <w:rPr>
          <w:rFonts w:ascii="仿宋" w:eastAsia="仿宋" w:hAnsi="仿宋" w:hint="eastAsia"/>
          <w:color w:val="000000" w:themeColor="text1"/>
          <w:sz w:val="32"/>
          <w:szCs w:val="32"/>
        </w:rPr>
        <w:t>深入贯彻党的二十大精神，坚持以立德树人为根本任务，充分发挥信息技术对构建德智体美劳五育并举教育体系的重要作用，深入推动互联网、大数据、人工智能等新技术在教育教学领域的创新应用，进一步完善我省线上教育教学资源与应用保障体系，推进教育服务供给方式变革，更好地服务课堂教学，服务学生自主学习，省电化教育馆将继续开展“国家通用语言编程（中文代码）”数字教育教学资源征集活动（以下简称为“活动”），推动建设</w:t>
      </w:r>
      <w:r>
        <w:rPr>
          <w:rFonts w:ascii="Calibri" w:eastAsia="仿宋_GB2312" w:hAnsi="Calibri" w:hint="eastAsia"/>
          <w:color w:val="000000" w:themeColor="text1"/>
          <w:sz w:val="32"/>
          <w:szCs w:val="32"/>
        </w:rPr>
        <w:t>一批方向正确、</w:t>
      </w:r>
      <w:r>
        <w:rPr>
          <w:rFonts w:ascii="Calibri" w:eastAsia="仿宋_GB2312" w:hAnsi="Calibri"/>
          <w:color w:val="000000" w:themeColor="text1"/>
          <w:sz w:val="32"/>
          <w:szCs w:val="32"/>
        </w:rPr>
        <w:t>理念先进、</w:t>
      </w:r>
      <w:r>
        <w:rPr>
          <w:rFonts w:ascii="Calibri" w:eastAsia="仿宋_GB2312" w:hAnsi="Calibri" w:hint="eastAsia"/>
          <w:color w:val="000000" w:themeColor="text1"/>
          <w:sz w:val="32"/>
          <w:szCs w:val="32"/>
        </w:rPr>
        <w:t>富有我省特色</w:t>
      </w:r>
      <w:r>
        <w:rPr>
          <w:rFonts w:ascii="Calibri" w:eastAsia="仿宋_GB2312" w:hAnsi="Calibri"/>
          <w:color w:val="000000" w:themeColor="text1"/>
          <w:sz w:val="32"/>
          <w:szCs w:val="32"/>
        </w:rPr>
        <w:t>、推广价值高</w:t>
      </w:r>
      <w:r>
        <w:rPr>
          <w:rFonts w:ascii="Calibri" w:eastAsia="仿宋_GB2312" w:hAnsi="Calibri" w:hint="eastAsia"/>
          <w:color w:val="000000" w:themeColor="text1"/>
          <w:sz w:val="32"/>
          <w:szCs w:val="32"/>
        </w:rPr>
        <w:t>的中</w:t>
      </w:r>
      <w:r>
        <w:rPr>
          <w:rFonts w:ascii="仿宋" w:eastAsia="仿宋" w:hAnsi="仿宋" w:hint="eastAsia"/>
          <w:color w:val="000000" w:themeColor="text1"/>
          <w:sz w:val="32"/>
          <w:szCs w:val="32"/>
        </w:rPr>
        <w:t>小学专题数字教育教学资源（以下简称“资源”）。</w:t>
      </w:r>
    </w:p>
    <w:p w:rsidR="00AA4ECE" w:rsidRDefault="00126FA0">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 xml:space="preserve">二、活动主题 </w:t>
      </w:r>
    </w:p>
    <w:p w:rsidR="00AA4ECE" w:rsidRDefault="00126FA0">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根据《国家中长期语言文字事业改革和发展规划纲要（2012—2020年）》《国家语言文字事业“十四五”发展规划》《国家通用语言文字普及提升工程和推普助力乡村振兴计划实施方案》《新一代人工智能发展规划》精神，为推动</w:t>
      </w:r>
      <w:r>
        <w:rPr>
          <w:rFonts w:ascii="仿宋_GB2312" w:eastAsia="仿宋_GB2312" w:hAnsi="仿宋_GB2312" w:cs="仿宋_GB2312" w:hint="eastAsia"/>
          <w:color w:val="000000" w:themeColor="text1"/>
          <w:kern w:val="0"/>
          <w:sz w:val="32"/>
          <w:szCs w:val="32"/>
        </w:rPr>
        <w:t>国家通用语言编程（中文代码）</w:t>
      </w:r>
      <w:r>
        <w:rPr>
          <w:rFonts w:ascii="仿宋" w:eastAsia="仿宋" w:hAnsi="仿宋" w:cs="仿宋" w:hint="eastAsia"/>
          <w:color w:val="000000" w:themeColor="text1"/>
          <w:sz w:val="32"/>
          <w:szCs w:val="32"/>
        </w:rPr>
        <w:t>在基础教育阶段中小学信息</w:t>
      </w:r>
      <w:r>
        <w:rPr>
          <w:rFonts w:ascii="仿宋" w:eastAsia="仿宋" w:hAnsi="仿宋" w:cs="仿宋" w:hint="eastAsia"/>
          <w:color w:val="000000" w:themeColor="text1"/>
          <w:sz w:val="32"/>
          <w:szCs w:val="32"/>
        </w:rPr>
        <w:lastRenderedPageBreak/>
        <w:t>技术课程中的普及应用，破解编程课程中学生的编程语言障碍，促进</w:t>
      </w:r>
      <w:r>
        <w:rPr>
          <w:rFonts w:ascii="仿宋_GB2312" w:eastAsia="仿宋_GB2312" w:hAnsi="仿宋_GB2312" w:cs="仿宋_GB2312" w:hint="eastAsia"/>
          <w:color w:val="000000" w:themeColor="text1"/>
          <w:kern w:val="0"/>
          <w:sz w:val="32"/>
          <w:szCs w:val="32"/>
        </w:rPr>
        <w:t>国家通用语言编程</w:t>
      </w:r>
      <w:r>
        <w:rPr>
          <w:rFonts w:ascii="仿宋" w:eastAsia="仿宋" w:hAnsi="仿宋" w:cs="仿宋" w:hint="eastAsia"/>
          <w:color w:val="000000" w:themeColor="text1"/>
          <w:sz w:val="32"/>
          <w:szCs w:val="32"/>
        </w:rPr>
        <w:t>（中文代码）教育发展，本年度省电化教育馆面向全省中小学教师征集“国家通用语言编程（中文代码）”数字教育教学资源。</w:t>
      </w:r>
    </w:p>
    <w:p w:rsidR="00AA4ECE" w:rsidRDefault="00126FA0">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三、参与对象</w:t>
      </w:r>
    </w:p>
    <w:p w:rsidR="00AA4ECE" w:rsidRDefault="00126FA0">
      <w:pPr>
        <w:spacing w:line="360" w:lineRule="auto"/>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全省中小学校教师</w:t>
      </w:r>
    </w:p>
    <w:p w:rsidR="00AA4ECE" w:rsidRDefault="00126FA0">
      <w:pPr>
        <w:pStyle w:val="a7"/>
        <w:spacing w:line="360" w:lineRule="auto"/>
        <w:ind w:firstLine="640"/>
        <w:rPr>
          <w:rFonts w:ascii="黑体" w:eastAsia="黑体" w:hAnsi="黑体"/>
          <w:color w:val="000000" w:themeColor="text1"/>
          <w:sz w:val="32"/>
          <w:szCs w:val="32"/>
        </w:rPr>
      </w:pPr>
      <w:r>
        <w:rPr>
          <w:rFonts w:ascii="黑体" w:eastAsia="黑体" w:hAnsi="黑体" w:hint="eastAsia"/>
          <w:color w:val="000000" w:themeColor="text1"/>
          <w:sz w:val="32"/>
          <w:szCs w:val="32"/>
        </w:rPr>
        <w:t>四、资源制作要求</w:t>
      </w:r>
    </w:p>
    <w:p w:rsidR="00AA4ECE" w:rsidRDefault="00126FA0">
      <w:pPr>
        <w:spacing w:line="360" w:lineRule="auto"/>
        <w:ind w:firstLineChars="200" w:firstLine="643"/>
        <w:rPr>
          <w:rFonts w:ascii="仿宋" w:eastAsia="仿宋" w:hAnsi="仿宋"/>
          <w:b/>
          <w:bCs/>
          <w:color w:val="000000" w:themeColor="text1"/>
          <w:sz w:val="32"/>
          <w:szCs w:val="32"/>
        </w:rPr>
      </w:pPr>
      <w:r>
        <w:rPr>
          <w:rFonts w:ascii="仿宋" w:eastAsia="仿宋" w:hAnsi="仿宋" w:hint="eastAsia"/>
          <w:b/>
          <w:bCs/>
          <w:color w:val="000000" w:themeColor="text1"/>
          <w:sz w:val="32"/>
          <w:szCs w:val="32"/>
        </w:rPr>
        <w:t>（一）资源类型及内容要求</w:t>
      </w:r>
    </w:p>
    <w:p w:rsidR="00AA4ECE" w:rsidRDefault="00126FA0">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资源内容以《青少年中文代码趣味编程（初级篇）》《青少年国家通用语言文字趣味编程》《中文代码汉语编程优秀教学案例集》《汉语编程创客实验教材》中具体一课（节）所含知识进行微课制作。一课（节）如有多个课时，需分别制作多个微课，最多不超过3个课时。</w:t>
      </w:r>
    </w:p>
    <w:p w:rsidR="00AA4ECE" w:rsidRDefault="00126FA0">
      <w:pPr>
        <w:spacing w:line="360" w:lineRule="auto"/>
        <w:ind w:firstLineChars="200" w:firstLine="640"/>
        <w:rPr>
          <w:color w:val="000000" w:themeColor="text1"/>
        </w:rPr>
      </w:pPr>
      <w:r>
        <w:rPr>
          <w:rFonts w:ascii="仿宋" w:eastAsia="仿宋" w:hAnsi="仿宋" w:cs="仿宋" w:hint="eastAsia"/>
          <w:color w:val="000000" w:themeColor="text1"/>
          <w:sz w:val="32"/>
          <w:szCs w:val="32"/>
        </w:rPr>
        <w:t>2.资源以微课形式呈现，上传微课视频的同时，还需上传微课PPT、微课教学设计、程序源码及素材、学习任务单等内容。</w:t>
      </w:r>
    </w:p>
    <w:p w:rsidR="00AA4ECE" w:rsidRDefault="00126FA0">
      <w:pPr>
        <w:shd w:val="clear" w:color="auto" w:fill="FFFFFF"/>
        <w:spacing w:line="360" w:lineRule="auto"/>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（二）技术要求</w:t>
      </w:r>
    </w:p>
    <w:p w:rsidR="00AA4ECE" w:rsidRDefault="00126FA0">
      <w:pPr>
        <w:pStyle w:val="a0"/>
        <w:spacing w:before="0" w:after="0" w:line="360" w:lineRule="auto"/>
        <w:ind w:firstLineChars="200" w:firstLine="640"/>
        <w:jc w:val="both"/>
        <w:outlineLvl w:val="9"/>
        <w:rPr>
          <w:rFonts w:ascii="仿宋" w:eastAsia="仿宋" w:hAnsi="仿宋" w:cs="仿宋"/>
          <w:b w:val="0"/>
          <w:bCs w:val="0"/>
          <w:color w:val="000000" w:themeColor="text1"/>
        </w:rPr>
      </w:pPr>
      <w:r>
        <w:rPr>
          <w:rFonts w:ascii="仿宋" w:eastAsia="仿宋" w:hAnsi="仿宋" w:cs="仿宋" w:hint="eastAsia"/>
          <w:b w:val="0"/>
          <w:bCs w:val="0"/>
          <w:color w:val="000000" w:themeColor="text1"/>
        </w:rPr>
        <w:t>1.微课视频</w:t>
      </w:r>
    </w:p>
    <w:p w:rsidR="00AA4ECE" w:rsidRDefault="00126FA0">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kern w:val="0"/>
          <w:sz w:val="32"/>
          <w:szCs w:val="32"/>
        </w:rPr>
        <w:t>微课视频应采用“教师讲解+视频头像”的形式，适当呈现授课教师画面，增强教学的交互性和画面的可视性。单个微课视频时长：小学</w:t>
      </w:r>
      <w:r>
        <w:rPr>
          <w:rFonts w:ascii="仿宋" w:eastAsia="仿宋" w:hAnsi="仿宋" w:cs="仿宋" w:hint="eastAsia"/>
          <w:color w:val="000000" w:themeColor="text1"/>
          <w:sz w:val="32"/>
          <w:szCs w:val="32"/>
        </w:rPr>
        <w:t>10-15分</w:t>
      </w:r>
      <w:r>
        <w:rPr>
          <w:rFonts w:ascii="仿宋" w:eastAsia="仿宋" w:hAnsi="仿宋" w:cs="仿宋" w:hint="eastAsia"/>
          <w:color w:val="000000" w:themeColor="text1"/>
          <w:kern w:val="0"/>
          <w:sz w:val="32"/>
          <w:szCs w:val="32"/>
        </w:rPr>
        <w:t>钟、中学</w:t>
      </w:r>
      <w:r>
        <w:rPr>
          <w:rFonts w:ascii="仿宋" w:eastAsia="仿宋" w:hAnsi="仿宋" w:cs="仿宋" w:hint="eastAsia"/>
          <w:color w:val="000000" w:themeColor="text1"/>
          <w:sz w:val="32"/>
          <w:szCs w:val="32"/>
        </w:rPr>
        <w:t>15-20</w:t>
      </w:r>
      <w:r>
        <w:rPr>
          <w:rFonts w:ascii="仿宋" w:eastAsia="仿宋" w:hAnsi="仿宋" w:cs="仿宋" w:hint="eastAsia"/>
          <w:color w:val="000000" w:themeColor="text1"/>
          <w:kern w:val="0"/>
          <w:sz w:val="32"/>
          <w:szCs w:val="32"/>
        </w:rPr>
        <w:t>分钟。微课视频应包含片头，片头（模版可在吉林省教育资源公共服务</w:t>
      </w:r>
      <w:r>
        <w:rPr>
          <w:rFonts w:ascii="仿宋" w:eastAsia="仿宋" w:hAnsi="仿宋" w:cs="仿宋" w:hint="eastAsia"/>
          <w:color w:val="000000" w:themeColor="text1"/>
          <w:kern w:val="0"/>
          <w:sz w:val="32"/>
          <w:szCs w:val="32"/>
        </w:rPr>
        <w:lastRenderedPageBreak/>
        <w:t>平台活动专区下载)由活动主题视频和作品信息两部分组成，时长不少于10秒不超过15秒，作品信息包括：教材版本、学科、年级、课名、主讲教师等信息。录制环境安静无噪音，光照充足均匀，教师语言规范，声音响亮。视频画面的比例为</w:t>
      </w:r>
      <w:r>
        <w:rPr>
          <w:rFonts w:ascii="仿宋" w:eastAsia="仿宋" w:hAnsi="仿宋" w:cs="仿宋" w:hint="eastAsia"/>
          <w:color w:val="000000" w:themeColor="text1"/>
          <w:sz w:val="32"/>
          <w:szCs w:val="32"/>
        </w:rPr>
        <w:t>16∶9，大</w:t>
      </w:r>
      <w:r>
        <w:rPr>
          <w:rFonts w:ascii="仿宋" w:eastAsia="仿宋" w:hAnsi="仿宋" w:cs="仿宋" w:hint="eastAsia"/>
          <w:color w:val="000000" w:themeColor="text1"/>
          <w:kern w:val="0"/>
          <w:sz w:val="32"/>
          <w:szCs w:val="32"/>
        </w:rPr>
        <w:t>小不超过</w:t>
      </w:r>
      <w:r>
        <w:rPr>
          <w:rFonts w:ascii="仿宋" w:eastAsia="仿宋" w:hAnsi="仿宋" w:cs="仿宋" w:hint="eastAsia"/>
          <w:color w:val="000000" w:themeColor="text1"/>
          <w:sz w:val="32"/>
          <w:szCs w:val="32"/>
        </w:rPr>
        <w:t>1G</w:t>
      </w:r>
      <w:r>
        <w:rPr>
          <w:rFonts w:ascii="仿宋" w:eastAsia="仿宋" w:hAnsi="仿宋" w:cs="仿宋" w:hint="eastAsia"/>
          <w:color w:val="000000" w:themeColor="text1"/>
          <w:kern w:val="0"/>
          <w:sz w:val="32"/>
          <w:szCs w:val="32"/>
        </w:rPr>
        <w:t>，编码格式</w:t>
      </w:r>
      <w:r>
        <w:rPr>
          <w:rFonts w:ascii="仿宋" w:eastAsia="仿宋" w:hAnsi="仿宋" w:cs="仿宋" w:hint="eastAsia"/>
          <w:color w:val="000000" w:themeColor="text1"/>
          <w:sz w:val="32"/>
          <w:szCs w:val="32"/>
        </w:rPr>
        <w:t>H.264/25</w:t>
      </w:r>
      <w:r>
        <w:rPr>
          <w:rFonts w:ascii="仿宋" w:eastAsia="仿宋" w:hAnsi="仿宋" w:cs="仿宋" w:hint="eastAsia"/>
          <w:color w:val="000000" w:themeColor="text1"/>
          <w:kern w:val="0"/>
          <w:sz w:val="32"/>
          <w:szCs w:val="32"/>
        </w:rPr>
        <w:t>帧，分辨率</w:t>
      </w:r>
      <w:r>
        <w:rPr>
          <w:rFonts w:ascii="仿宋" w:eastAsia="仿宋" w:hAnsi="仿宋" w:cs="仿宋" w:hint="eastAsia"/>
          <w:color w:val="000000" w:themeColor="text1"/>
          <w:sz w:val="32"/>
          <w:szCs w:val="32"/>
        </w:rPr>
        <w:t>1920*1080P，</w:t>
      </w:r>
      <w:r>
        <w:rPr>
          <w:rFonts w:ascii="仿宋" w:eastAsia="仿宋" w:hAnsi="仿宋" w:cs="仿宋" w:hint="eastAsia"/>
          <w:color w:val="000000" w:themeColor="text1"/>
          <w:kern w:val="0"/>
          <w:sz w:val="32"/>
          <w:szCs w:val="32"/>
        </w:rPr>
        <w:t>码率</w:t>
      </w:r>
      <w:r>
        <w:rPr>
          <w:rFonts w:ascii="仿宋" w:eastAsia="仿宋" w:hAnsi="仿宋" w:cs="仿宋" w:hint="eastAsia"/>
          <w:color w:val="000000" w:themeColor="text1"/>
          <w:sz w:val="32"/>
          <w:szCs w:val="32"/>
        </w:rPr>
        <w:t>8Mbps</w:t>
      </w:r>
      <w:r>
        <w:rPr>
          <w:rFonts w:ascii="仿宋" w:eastAsia="仿宋" w:hAnsi="仿宋" w:cs="仿宋" w:hint="eastAsia"/>
          <w:color w:val="000000" w:themeColor="text1"/>
          <w:kern w:val="0"/>
          <w:sz w:val="32"/>
          <w:szCs w:val="32"/>
        </w:rPr>
        <w:t>，音频</w:t>
      </w:r>
      <w:r>
        <w:rPr>
          <w:rFonts w:ascii="仿宋" w:eastAsia="仿宋" w:hAnsi="仿宋" w:cs="仿宋" w:hint="eastAsia"/>
          <w:color w:val="000000" w:themeColor="text1"/>
          <w:sz w:val="32"/>
          <w:szCs w:val="32"/>
        </w:rPr>
        <w:t>ACC</w:t>
      </w:r>
      <w:r>
        <w:rPr>
          <w:rFonts w:ascii="仿宋" w:eastAsia="仿宋" w:hAnsi="仿宋" w:cs="仿宋" w:hint="eastAsia"/>
          <w:color w:val="000000" w:themeColor="text1"/>
          <w:kern w:val="0"/>
          <w:sz w:val="32"/>
          <w:szCs w:val="32"/>
        </w:rPr>
        <w:t>编码、码率</w:t>
      </w:r>
      <w:r>
        <w:rPr>
          <w:rFonts w:ascii="仿宋" w:eastAsia="仿宋" w:hAnsi="仿宋" w:cs="仿宋" w:hint="eastAsia"/>
          <w:color w:val="000000" w:themeColor="text1"/>
          <w:sz w:val="32"/>
          <w:szCs w:val="32"/>
        </w:rPr>
        <w:t>128Kbps</w:t>
      </w:r>
      <w:r>
        <w:rPr>
          <w:rFonts w:ascii="仿宋" w:eastAsia="仿宋" w:hAnsi="仿宋" w:cs="仿宋" w:hint="eastAsia"/>
          <w:color w:val="000000" w:themeColor="text1"/>
          <w:kern w:val="0"/>
          <w:sz w:val="32"/>
          <w:szCs w:val="32"/>
        </w:rPr>
        <w:t>。鼓励教师对微课视频文件进行后期编制，可根据教学内容要求适当调整屏幕大小，布局美观大方。微课中如果需要插入操作演示视频应多角度清晰呈现教师进行的操作演示画面及相关现象，在操作演示视频中可简单介绍演示操作目的、观察重点</w:t>
      </w:r>
      <w:r>
        <w:rPr>
          <w:rFonts w:ascii="仿宋" w:eastAsia="仿宋" w:hAnsi="仿宋" w:cs="仿宋" w:hint="eastAsia"/>
          <w:color w:val="000000" w:themeColor="text1"/>
          <w:sz w:val="32"/>
          <w:szCs w:val="32"/>
        </w:rPr>
        <w:t>等。</w:t>
      </w:r>
    </w:p>
    <w:p w:rsidR="00AA4ECE" w:rsidRDefault="00126FA0">
      <w:pPr>
        <w:pStyle w:val="a0"/>
        <w:spacing w:before="0" w:after="0" w:line="360" w:lineRule="auto"/>
        <w:ind w:firstLineChars="200" w:firstLine="640"/>
        <w:jc w:val="both"/>
        <w:outlineLvl w:val="9"/>
        <w:rPr>
          <w:rFonts w:ascii="仿宋" w:eastAsia="仿宋" w:hAnsi="仿宋" w:cs="仿宋"/>
          <w:b w:val="0"/>
          <w:bCs w:val="0"/>
          <w:color w:val="000000" w:themeColor="text1"/>
        </w:rPr>
      </w:pPr>
      <w:r>
        <w:rPr>
          <w:rFonts w:ascii="仿宋" w:eastAsia="仿宋" w:hAnsi="仿宋" w:cs="仿宋" w:hint="eastAsia"/>
          <w:b w:val="0"/>
          <w:bCs w:val="0"/>
          <w:color w:val="000000" w:themeColor="text1"/>
        </w:rPr>
        <w:t>2.微课PPT</w:t>
      </w:r>
    </w:p>
    <w:p w:rsidR="00AA4ECE" w:rsidRDefault="00126FA0">
      <w:pPr>
        <w:spacing w:line="360" w:lineRule="auto"/>
        <w:ind w:firstLineChars="200" w:firstLine="640"/>
        <w:rPr>
          <w:rFonts w:ascii="仿宋_GB2312" w:eastAsia="仿宋_GB2312" w:hAnsi="楷体"/>
          <w:color w:val="000000" w:themeColor="text1"/>
          <w:sz w:val="32"/>
          <w:szCs w:val="32"/>
        </w:rPr>
      </w:pPr>
      <w:r>
        <w:rPr>
          <w:rFonts w:ascii="仿宋" w:eastAsia="仿宋" w:hAnsi="仿宋" w:cs="仿宋" w:hint="eastAsia"/>
          <w:color w:val="000000" w:themeColor="text1"/>
          <w:sz w:val="32"/>
          <w:szCs w:val="32"/>
        </w:rPr>
        <w:t>微课PPT</w:t>
      </w:r>
      <w:r>
        <w:rPr>
          <w:rFonts w:ascii="仿宋_GB2312" w:eastAsia="仿宋_GB2312" w:hAnsi="仿宋_GB2312" w:cs="仿宋_GB2312" w:hint="eastAsia"/>
          <w:color w:val="000000" w:themeColor="text1"/>
          <w:kern w:val="0"/>
          <w:sz w:val="32"/>
          <w:szCs w:val="32"/>
        </w:rPr>
        <w:t>及其嵌入的媒体素材应确保内容清晰无误，界面设计简明、布局合理、重点突出，风格统一。</w:t>
      </w:r>
      <w:r>
        <w:rPr>
          <w:rFonts w:ascii="仿宋_GB2312" w:eastAsia="仿宋_GB2312" w:hAnsi="楷体" w:hint="eastAsia"/>
          <w:color w:val="000000" w:themeColor="text1"/>
          <w:sz w:val="32"/>
          <w:szCs w:val="32"/>
        </w:rPr>
        <w:t>以</w:t>
      </w:r>
      <w:r>
        <w:rPr>
          <w:rFonts w:ascii="仿宋_GB2312" w:eastAsia="仿宋_GB2312" w:hAnsi="楷体"/>
          <w:color w:val="000000" w:themeColor="text1"/>
          <w:sz w:val="32"/>
          <w:szCs w:val="32"/>
        </w:rPr>
        <w:t>pptx</w:t>
      </w:r>
      <w:r>
        <w:rPr>
          <w:rFonts w:ascii="仿宋_GB2312" w:eastAsia="仿宋_GB2312" w:hAnsi="楷体" w:hint="eastAsia"/>
          <w:color w:val="000000" w:themeColor="text1"/>
          <w:sz w:val="32"/>
          <w:szCs w:val="32"/>
        </w:rPr>
        <w:t>格式</w:t>
      </w:r>
      <w:r>
        <w:rPr>
          <w:rFonts w:ascii="仿宋_GB2312" w:eastAsia="仿宋_GB2312" w:hAnsi="楷体"/>
          <w:color w:val="000000" w:themeColor="text1"/>
          <w:sz w:val="32"/>
          <w:szCs w:val="32"/>
        </w:rPr>
        <w:t>（office2007及以上版本、wps2016及以上版本）提交</w:t>
      </w:r>
      <w:r>
        <w:rPr>
          <w:rFonts w:ascii="仿宋_GB2312" w:eastAsia="仿宋_GB2312" w:hAnsi="楷体" w:hint="eastAsia"/>
          <w:color w:val="000000" w:themeColor="text1"/>
          <w:sz w:val="32"/>
          <w:szCs w:val="32"/>
        </w:rPr>
        <w:t>。</w:t>
      </w:r>
    </w:p>
    <w:p w:rsidR="00AA4ECE" w:rsidRDefault="00126FA0">
      <w:pPr>
        <w:pStyle w:val="a0"/>
        <w:spacing w:before="0" w:after="0" w:line="360" w:lineRule="auto"/>
        <w:ind w:firstLineChars="200" w:firstLine="640"/>
        <w:jc w:val="both"/>
        <w:outlineLvl w:val="9"/>
        <w:rPr>
          <w:color w:val="000000" w:themeColor="text1"/>
        </w:rPr>
      </w:pPr>
      <w:r>
        <w:rPr>
          <w:rFonts w:ascii="仿宋" w:eastAsia="仿宋" w:hAnsi="仿宋" w:cs="仿宋" w:hint="eastAsia"/>
          <w:b w:val="0"/>
          <w:bCs w:val="0"/>
          <w:color w:val="000000" w:themeColor="text1"/>
        </w:rPr>
        <w:t>3.微课教学设计</w:t>
      </w:r>
    </w:p>
    <w:p w:rsidR="00AA4ECE" w:rsidRDefault="00126FA0">
      <w:pPr>
        <w:spacing w:line="360" w:lineRule="auto"/>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微课教学设计参照模版（</w:t>
      </w:r>
      <w:r>
        <w:rPr>
          <w:rFonts w:ascii="仿宋" w:eastAsia="仿宋" w:hAnsi="仿宋" w:cs="仿宋" w:hint="eastAsia"/>
          <w:color w:val="000000" w:themeColor="text1"/>
          <w:kern w:val="0"/>
          <w:sz w:val="32"/>
          <w:szCs w:val="32"/>
        </w:rPr>
        <w:t>可在吉林省教育资源公共服务平台活动专区下载)，</w:t>
      </w:r>
      <w:r>
        <w:rPr>
          <w:rFonts w:ascii="仿宋" w:eastAsia="仿宋" w:hAnsi="仿宋" w:hint="eastAsia"/>
          <w:color w:val="000000" w:themeColor="text1"/>
          <w:sz w:val="32"/>
          <w:szCs w:val="32"/>
        </w:rPr>
        <w:t>以word格式提交</w:t>
      </w:r>
      <w:r>
        <w:rPr>
          <w:rFonts w:ascii="仿宋_GB2312" w:eastAsia="仿宋_GB2312" w:hAnsi="仿宋_GB2312" w:cs="仿宋_GB2312" w:hint="eastAsia"/>
          <w:color w:val="000000" w:themeColor="text1"/>
          <w:kern w:val="0"/>
          <w:sz w:val="32"/>
          <w:szCs w:val="32"/>
        </w:rPr>
        <w:t>。教学目标符合信息科技课程标准要求，涉及跨学科学习内容的要与相关学科课标要求、授课年级相符。教学内容要充分利用国家通用语言编程相关教材、案例中已有的研究成果。教学过程包含必要的教学环节，层次清晰，体现多样化教学方式。</w:t>
      </w:r>
    </w:p>
    <w:p w:rsidR="00AA4ECE" w:rsidRDefault="00126FA0">
      <w:pPr>
        <w:pStyle w:val="a0"/>
        <w:spacing w:before="0" w:after="0" w:line="360" w:lineRule="auto"/>
        <w:ind w:firstLineChars="200" w:firstLine="640"/>
        <w:jc w:val="both"/>
        <w:outlineLvl w:val="9"/>
        <w:rPr>
          <w:rFonts w:ascii="仿宋_GB2312" w:eastAsia="仿宋_GB2312" w:hAnsi="仿宋_GB2312" w:cs="仿宋_GB2312"/>
          <w:b w:val="0"/>
          <w:bCs w:val="0"/>
          <w:color w:val="000000" w:themeColor="text1"/>
          <w:kern w:val="0"/>
        </w:rPr>
      </w:pPr>
      <w:r>
        <w:rPr>
          <w:rFonts w:ascii="仿宋" w:eastAsia="仿宋" w:hAnsi="仿宋" w:cs="仿宋" w:hint="eastAsia"/>
          <w:b w:val="0"/>
          <w:bCs w:val="0"/>
          <w:color w:val="000000" w:themeColor="text1"/>
        </w:rPr>
        <w:lastRenderedPageBreak/>
        <w:t>4.程序源码及素材</w:t>
      </w:r>
    </w:p>
    <w:p w:rsidR="00AA4ECE" w:rsidRDefault="00126FA0">
      <w:pPr>
        <w:pStyle w:val="a0"/>
        <w:spacing w:before="0" w:after="0" w:line="360" w:lineRule="auto"/>
        <w:ind w:firstLineChars="200" w:firstLine="640"/>
        <w:jc w:val="both"/>
        <w:outlineLvl w:val="9"/>
        <w:rPr>
          <w:rFonts w:ascii="仿宋_GB2312" w:eastAsia="仿宋_GB2312" w:hAnsi="仿宋_GB2312" w:cs="仿宋_GB2312"/>
          <w:b w:val="0"/>
          <w:bCs w:val="0"/>
          <w:color w:val="000000" w:themeColor="text1"/>
          <w:kern w:val="0"/>
        </w:rPr>
      </w:pPr>
      <w:r>
        <w:rPr>
          <w:rFonts w:ascii="仿宋_GB2312" w:eastAsia="仿宋_GB2312" w:hAnsi="仿宋_GB2312" w:cs="仿宋_GB2312" w:hint="eastAsia"/>
          <w:b w:val="0"/>
          <w:bCs w:val="0"/>
          <w:color w:val="000000" w:themeColor="text1"/>
          <w:kern w:val="0"/>
        </w:rPr>
        <w:t>程序源码以chp格式提交，同时应提交与程序源码相关的资源文件(图片、声音等)。</w:t>
      </w:r>
    </w:p>
    <w:p w:rsidR="00AA4ECE" w:rsidRDefault="00126FA0">
      <w:pPr>
        <w:pStyle w:val="a0"/>
        <w:spacing w:before="0" w:after="0" w:line="360" w:lineRule="auto"/>
        <w:ind w:firstLineChars="200" w:firstLine="640"/>
        <w:jc w:val="both"/>
        <w:outlineLvl w:val="9"/>
        <w:rPr>
          <w:rFonts w:ascii="仿宋_GB2312" w:eastAsia="仿宋_GB2312" w:hAnsi="仿宋_GB2312" w:cs="仿宋_GB2312"/>
          <w:b w:val="0"/>
          <w:bCs w:val="0"/>
          <w:color w:val="000000" w:themeColor="text1"/>
          <w:kern w:val="0"/>
        </w:rPr>
      </w:pPr>
      <w:r>
        <w:rPr>
          <w:rFonts w:ascii="仿宋_GB2312" w:eastAsia="仿宋_GB2312" w:hAnsi="仿宋_GB2312" w:cs="仿宋_GB2312" w:hint="eastAsia"/>
          <w:b w:val="0"/>
          <w:bCs w:val="0"/>
          <w:color w:val="000000" w:themeColor="text1"/>
          <w:kern w:val="0"/>
        </w:rPr>
        <w:t>5.学习任务单</w:t>
      </w:r>
    </w:p>
    <w:p w:rsidR="00AA4ECE" w:rsidRDefault="00126FA0">
      <w:pPr>
        <w:pStyle w:val="a0"/>
        <w:spacing w:before="0" w:after="0" w:line="360" w:lineRule="auto"/>
        <w:ind w:firstLineChars="200" w:firstLine="640"/>
        <w:jc w:val="both"/>
        <w:outlineLvl w:val="9"/>
        <w:rPr>
          <w:b w:val="0"/>
          <w:bCs w:val="0"/>
          <w:color w:val="000000" w:themeColor="text1"/>
        </w:rPr>
      </w:pPr>
      <w:r>
        <w:rPr>
          <w:rFonts w:ascii="仿宋_GB2312" w:eastAsia="仿宋_GB2312" w:hAnsi="仿宋_GB2312" w:cs="仿宋_GB2312" w:hint="eastAsia"/>
          <w:b w:val="0"/>
          <w:bCs w:val="0"/>
          <w:color w:val="000000" w:themeColor="text1"/>
          <w:kern w:val="0"/>
        </w:rPr>
        <w:t>学习任务单参照模版</w:t>
      </w:r>
      <w:r>
        <w:rPr>
          <w:rFonts w:ascii="仿宋" w:eastAsia="仿宋" w:hAnsi="仿宋" w:cs="仿宋" w:hint="eastAsia"/>
          <w:b w:val="0"/>
          <w:bCs w:val="0"/>
          <w:color w:val="000000" w:themeColor="text1"/>
          <w:kern w:val="0"/>
        </w:rPr>
        <w:t>（可在吉林省教育资源公共服务平台活动专区下载)，</w:t>
      </w:r>
      <w:r>
        <w:rPr>
          <w:rFonts w:ascii="仿宋" w:eastAsia="仿宋" w:hAnsi="仿宋" w:hint="eastAsia"/>
          <w:b w:val="0"/>
          <w:bCs w:val="0"/>
          <w:color w:val="000000" w:themeColor="text1"/>
        </w:rPr>
        <w:t>以word格式提交</w:t>
      </w:r>
      <w:r>
        <w:rPr>
          <w:rFonts w:ascii="仿宋_GB2312" w:eastAsia="仿宋_GB2312" w:hAnsi="仿宋_GB2312" w:cs="仿宋_GB2312" w:hint="eastAsia"/>
          <w:b w:val="0"/>
          <w:bCs w:val="0"/>
          <w:color w:val="000000" w:themeColor="text1"/>
          <w:kern w:val="0"/>
        </w:rPr>
        <w:t>。学习任务单内容应包括课程基本信息、学习目标、学习任务、学习准备、学习方式和环节以及配套学习资源推荐（包括教科书相关内容阅读及其他学习资源）等。</w:t>
      </w:r>
    </w:p>
    <w:p w:rsidR="00AA4ECE" w:rsidRDefault="00126FA0">
      <w:pPr>
        <w:pStyle w:val="a7"/>
        <w:spacing w:line="360" w:lineRule="auto"/>
        <w:ind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五、报送方式</w:t>
      </w:r>
    </w:p>
    <w:p w:rsidR="00AA4ECE" w:rsidRDefault="00126FA0">
      <w:pPr>
        <w:spacing w:line="360" w:lineRule="auto"/>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登录吉林省教育资源公共服务平台（http://www.jleduyun.cn/），在首页轮播图中找到“吉林省优质专题数字教育教学资源征集系列活动”入口，利用平台账号登录后，按照系统提示，提交资源。资源由县（区）、市（州）进行逐级评审与推荐（操作指南等信息请见“活动专区”）。</w:t>
      </w:r>
    </w:p>
    <w:p w:rsidR="00AA4ECE" w:rsidRDefault="00126FA0">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六、时间安排</w:t>
      </w:r>
    </w:p>
    <w:p w:rsidR="00AA4ECE" w:rsidRDefault="00126FA0">
      <w:pPr>
        <w:spacing w:line="360" w:lineRule="auto"/>
        <w:ind w:firstLineChars="200" w:firstLine="643"/>
        <w:rPr>
          <w:rFonts w:ascii="仿宋_GB2312" w:eastAsia="仿宋_GB2312" w:hAnsi="黑体"/>
          <w:b/>
          <w:bCs/>
          <w:color w:val="000000" w:themeColor="text1"/>
          <w:sz w:val="32"/>
          <w:szCs w:val="32"/>
        </w:rPr>
      </w:pPr>
      <w:r>
        <w:rPr>
          <w:rFonts w:ascii="仿宋_GB2312" w:eastAsia="仿宋_GB2312" w:hAnsi="黑体" w:hint="eastAsia"/>
          <w:b/>
          <w:bCs/>
          <w:color w:val="000000" w:themeColor="text1"/>
          <w:sz w:val="32"/>
          <w:szCs w:val="32"/>
        </w:rPr>
        <w:t>1.资源报送</w:t>
      </w:r>
    </w:p>
    <w:p w:rsidR="00AA4ECE" w:rsidRDefault="00126FA0">
      <w:pPr>
        <w:spacing w:line="360" w:lineRule="auto"/>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2023年6月20日-2023年9月15日，教师登录吉林省教育资源公共服务平台，上传作品。</w:t>
      </w:r>
    </w:p>
    <w:p w:rsidR="00AA4ECE" w:rsidRDefault="00126FA0">
      <w:pPr>
        <w:spacing w:line="360" w:lineRule="auto"/>
        <w:ind w:firstLineChars="200" w:firstLine="643"/>
        <w:rPr>
          <w:rFonts w:ascii="仿宋_GB2312" w:eastAsia="仿宋_GB2312" w:hAnsi="黑体"/>
          <w:b/>
          <w:bCs/>
          <w:color w:val="000000" w:themeColor="text1"/>
          <w:sz w:val="32"/>
          <w:szCs w:val="32"/>
        </w:rPr>
      </w:pPr>
      <w:r>
        <w:rPr>
          <w:rFonts w:ascii="仿宋_GB2312" w:eastAsia="仿宋_GB2312" w:hAnsi="黑体" w:hint="eastAsia"/>
          <w:b/>
          <w:bCs/>
          <w:color w:val="000000" w:themeColor="text1"/>
          <w:sz w:val="32"/>
          <w:szCs w:val="32"/>
        </w:rPr>
        <w:t>2.作品评审</w:t>
      </w:r>
    </w:p>
    <w:p w:rsidR="00AA4ECE" w:rsidRPr="00762520" w:rsidRDefault="00126FA0">
      <w:pPr>
        <w:spacing w:line="360" w:lineRule="auto"/>
        <w:ind w:firstLineChars="200" w:firstLine="640"/>
        <w:rPr>
          <w:rFonts w:ascii="仿宋_GB2312" w:eastAsia="仿宋_GB2312" w:hAnsi="宋体"/>
          <w:sz w:val="32"/>
          <w:szCs w:val="32"/>
        </w:rPr>
      </w:pPr>
      <w:r w:rsidRPr="00762520">
        <w:rPr>
          <w:rFonts w:ascii="仿宋_GB2312" w:eastAsia="仿宋_GB2312" w:hAnsi="宋体" w:hint="eastAsia"/>
          <w:sz w:val="32"/>
          <w:szCs w:val="32"/>
        </w:rPr>
        <w:t>2023年10月7日-11月30日，网上评审，逐级推荐。</w:t>
      </w:r>
    </w:p>
    <w:p w:rsidR="00AA4ECE" w:rsidRPr="00762520" w:rsidRDefault="00126FA0">
      <w:pPr>
        <w:spacing w:line="360" w:lineRule="auto"/>
        <w:ind w:firstLineChars="200" w:firstLine="640"/>
        <w:rPr>
          <w:rFonts w:ascii="仿宋_GB2312" w:eastAsia="仿宋_GB2312" w:hAnsi="宋体"/>
          <w:sz w:val="32"/>
          <w:szCs w:val="32"/>
        </w:rPr>
      </w:pPr>
      <w:r w:rsidRPr="00762520">
        <w:rPr>
          <w:rFonts w:ascii="仿宋_GB2312" w:eastAsia="仿宋_GB2312" w:hAnsi="宋体" w:hint="eastAsia"/>
          <w:sz w:val="32"/>
          <w:szCs w:val="32"/>
        </w:rPr>
        <w:lastRenderedPageBreak/>
        <w:t>县区评审推荐：10月7日-10月20日</w:t>
      </w:r>
    </w:p>
    <w:p w:rsidR="00AA4ECE" w:rsidRPr="00762520" w:rsidRDefault="00126FA0">
      <w:pPr>
        <w:spacing w:line="360" w:lineRule="auto"/>
        <w:ind w:firstLineChars="200" w:firstLine="640"/>
        <w:rPr>
          <w:rFonts w:ascii="仿宋_GB2312" w:eastAsia="仿宋_GB2312" w:hAnsi="宋体"/>
          <w:sz w:val="32"/>
          <w:szCs w:val="32"/>
        </w:rPr>
      </w:pPr>
      <w:r w:rsidRPr="00762520">
        <w:rPr>
          <w:rFonts w:ascii="仿宋_GB2312" w:eastAsia="仿宋_GB2312" w:hAnsi="宋体" w:hint="eastAsia"/>
          <w:sz w:val="32"/>
          <w:szCs w:val="32"/>
        </w:rPr>
        <w:t>地市评审推荐：10月23日-10月31日</w:t>
      </w:r>
    </w:p>
    <w:p w:rsidR="00AA4ECE" w:rsidRPr="00762520" w:rsidRDefault="00126FA0">
      <w:pPr>
        <w:spacing w:line="360" w:lineRule="auto"/>
        <w:ind w:firstLineChars="200" w:firstLine="640"/>
        <w:rPr>
          <w:rFonts w:ascii="仿宋_GB2312" w:eastAsia="仿宋_GB2312" w:hAnsi="宋体"/>
          <w:sz w:val="32"/>
          <w:szCs w:val="32"/>
        </w:rPr>
      </w:pPr>
      <w:r w:rsidRPr="00762520">
        <w:rPr>
          <w:rFonts w:ascii="仿宋_GB2312" w:eastAsia="仿宋_GB2312" w:hAnsi="宋体" w:hint="eastAsia"/>
          <w:sz w:val="32"/>
          <w:szCs w:val="32"/>
        </w:rPr>
        <w:t>省级评审：   11月1日-11月30日</w:t>
      </w:r>
    </w:p>
    <w:p w:rsidR="00AA4ECE" w:rsidRDefault="00126FA0">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七、活动组织</w:t>
      </w:r>
    </w:p>
    <w:p w:rsidR="00AA4ECE" w:rsidRDefault="00126FA0">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1.省电教馆为活动主办单位。负责活动的统筹规划、平台搭建、组织培训等工作。</w:t>
      </w:r>
    </w:p>
    <w:p w:rsidR="00AA4ECE" w:rsidRDefault="00126FA0">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2.市(州)电教部门为活动实施单位。负责本地区活动的组织实施，协助省电教馆做好上传、评审及推荐工作。</w:t>
      </w:r>
    </w:p>
    <w:p w:rsidR="00AA4ECE" w:rsidRDefault="00126FA0">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3.中小学校为活动主体。</w:t>
      </w:r>
      <w:r>
        <w:rPr>
          <w:rFonts w:ascii="仿宋_GB2312" w:eastAsia="仿宋_GB2312" w:hAnsi="仿宋" w:hint="eastAsia"/>
          <w:color w:val="000000" w:themeColor="text1"/>
          <w:sz w:val="32"/>
          <w:szCs w:val="32"/>
        </w:rPr>
        <w:t>组织教师积极参加资源征集活动和相关专题培训，把好选题关和作品审查关，做好作品的报送工作。</w:t>
      </w:r>
    </w:p>
    <w:p w:rsidR="00AA4ECE" w:rsidRDefault="00126FA0">
      <w:pPr>
        <w:spacing w:line="360" w:lineRule="auto"/>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八、注意事项</w:t>
      </w:r>
    </w:p>
    <w:p w:rsidR="00AA4ECE" w:rsidRDefault="00126FA0">
      <w:pPr>
        <w:spacing w:line="360" w:lineRule="auto"/>
        <w:ind w:firstLineChars="200" w:firstLine="640"/>
        <w:rPr>
          <w:rFonts w:ascii="仿宋" w:eastAsia="仿宋" w:hAnsi="仿宋"/>
          <w:color w:val="000000" w:themeColor="text1"/>
          <w:sz w:val="32"/>
          <w:szCs w:val="32"/>
        </w:rPr>
      </w:pPr>
      <w:r>
        <w:rPr>
          <w:rFonts w:ascii="仿宋" w:eastAsia="仿宋" w:hAnsi="仿宋" w:cs="Arial"/>
          <w:color w:val="000000" w:themeColor="text1"/>
          <w:kern w:val="0"/>
          <w:sz w:val="32"/>
          <w:szCs w:val="32"/>
        </w:rPr>
        <w:t>1.</w:t>
      </w:r>
      <w:r>
        <w:rPr>
          <w:rFonts w:ascii="仿宋" w:eastAsia="仿宋" w:hAnsi="仿宋" w:cs="Arial" w:hint="eastAsia"/>
          <w:color w:val="000000" w:themeColor="text1"/>
          <w:kern w:val="0"/>
          <w:sz w:val="32"/>
          <w:szCs w:val="32"/>
        </w:rPr>
        <w:t>报送资源必须为资源权属人原创，拥有该资源的版权、著作权、肖像权，可做公益使用，引用资料须注明出处和原作者，</w:t>
      </w:r>
      <w:r w:rsidRPr="00762520">
        <w:rPr>
          <w:rFonts w:ascii="仿宋" w:eastAsia="仿宋" w:hAnsi="仿宋" w:cs="Arial" w:hint="eastAsia"/>
          <w:color w:val="000000" w:themeColor="text1"/>
          <w:kern w:val="0"/>
          <w:sz w:val="32"/>
          <w:szCs w:val="32"/>
        </w:rPr>
        <w:t>不含任何商业广告，不含任何个人或机构二维码、商标、LOGO等。</w:t>
      </w:r>
    </w:p>
    <w:p w:rsidR="00AA4ECE" w:rsidRDefault="00126FA0">
      <w:pPr>
        <w:widowControl/>
        <w:shd w:val="clear" w:color="auto" w:fill="FFFFFF"/>
        <w:spacing w:line="360" w:lineRule="auto"/>
        <w:ind w:leftChars="50" w:left="105" w:firstLineChars="200" w:firstLine="640"/>
        <w:rPr>
          <w:rFonts w:ascii="仿宋" w:eastAsia="仿宋" w:hAnsi="仿宋" w:cs="Arial"/>
          <w:color w:val="000000" w:themeColor="text1"/>
          <w:kern w:val="0"/>
          <w:sz w:val="32"/>
          <w:szCs w:val="32"/>
        </w:rPr>
      </w:pPr>
      <w:r>
        <w:rPr>
          <w:rFonts w:ascii="仿宋" w:eastAsia="仿宋" w:hAnsi="仿宋" w:cs="Arial"/>
          <w:color w:val="000000" w:themeColor="text1"/>
          <w:kern w:val="0"/>
          <w:sz w:val="32"/>
          <w:szCs w:val="32"/>
        </w:rPr>
        <w:t>2.</w:t>
      </w:r>
      <w:r>
        <w:rPr>
          <w:rFonts w:ascii="仿宋" w:eastAsia="仿宋" w:hAnsi="仿宋" w:cs="Arial" w:hint="eastAsia"/>
          <w:color w:val="000000" w:themeColor="text1"/>
          <w:kern w:val="0"/>
          <w:sz w:val="32"/>
          <w:szCs w:val="32"/>
        </w:rPr>
        <w:t>报送者需处理好资源上传前的保密问题，并确保该资源在报送前未公开发表、展示或参加其它赛事（校级以上）。</w:t>
      </w:r>
    </w:p>
    <w:p w:rsidR="00AA4ECE" w:rsidRDefault="00126FA0">
      <w:pPr>
        <w:widowControl/>
        <w:shd w:val="clear" w:color="auto" w:fill="FFFFFF"/>
        <w:spacing w:line="360" w:lineRule="auto"/>
        <w:ind w:leftChars="50" w:left="105" w:firstLineChars="200" w:firstLine="640"/>
        <w:rPr>
          <w:rFonts w:ascii="仿宋" w:eastAsia="仿宋" w:hAnsi="仿宋" w:cs="Arial"/>
          <w:color w:val="000000" w:themeColor="text1"/>
          <w:kern w:val="0"/>
          <w:sz w:val="32"/>
          <w:szCs w:val="32"/>
        </w:rPr>
      </w:pPr>
      <w:r>
        <w:rPr>
          <w:rFonts w:ascii="仿宋" w:eastAsia="仿宋" w:hAnsi="仿宋" w:cs="Arial"/>
          <w:color w:val="000000" w:themeColor="text1"/>
          <w:kern w:val="0"/>
          <w:sz w:val="32"/>
          <w:szCs w:val="32"/>
        </w:rPr>
        <w:t>3.</w:t>
      </w:r>
      <w:r>
        <w:rPr>
          <w:rFonts w:ascii="仿宋" w:eastAsia="仿宋" w:hAnsi="仿宋" w:cs="Arial" w:hint="eastAsia"/>
          <w:color w:val="000000" w:themeColor="text1"/>
          <w:kern w:val="0"/>
          <w:sz w:val="32"/>
          <w:szCs w:val="32"/>
        </w:rPr>
        <w:t>资源内容坚持正确方向，确保科学规范，不存在科学性错误和误导歧义内容，在意识形态、民族宗教、领土国界等关键问题上不能有偏差，不触犯国家有关政策和法律法规，</w:t>
      </w:r>
      <w:r>
        <w:rPr>
          <w:rFonts w:ascii="仿宋" w:eastAsia="仿宋" w:hAnsi="仿宋" w:cs="Arial" w:hint="eastAsia"/>
          <w:color w:val="000000" w:themeColor="text1"/>
          <w:kern w:val="0"/>
          <w:sz w:val="32"/>
          <w:szCs w:val="32"/>
        </w:rPr>
        <w:lastRenderedPageBreak/>
        <w:t>不涉及色情、暴力等其他违反社会道德规范的内容。如因此引起任何相关法律纠纷，其法律责任由报送者本人承担。</w:t>
      </w:r>
    </w:p>
    <w:p w:rsidR="00AA4ECE" w:rsidRDefault="00126FA0">
      <w:pPr>
        <w:widowControl/>
        <w:shd w:val="clear" w:color="auto" w:fill="FFFFFF"/>
        <w:spacing w:line="360" w:lineRule="auto"/>
        <w:ind w:leftChars="50" w:left="105" w:firstLineChars="200" w:firstLine="640"/>
        <w:rPr>
          <w:rFonts w:ascii="仿宋" w:eastAsia="仿宋" w:hAnsi="仿宋" w:cs="Arial"/>
          <w:color w:val="000000" w:themeColor="text1"/>
          <w:kern w:val="0"/>
          <w:sz w:val="32"/>
          <w:szCs w:val="32"/>
        </w:rPr>
      </w:pPr>
      <w:r>
        <w:rPr>
          <w:rFonts w:ascii="仿宋" w:eastAsia="仿宋" w:hAnsi="仿宋" w:cs="Arial"/>
          <w:color w:val="000000" w:themeColor="text1"/>
          <w:kern w:val="0"/>
          <w:sz w:val="32"/>
          <w:szCs w:val="32"/>
        </w:rPr>
        <w:t>4.</w:t>
      </w:r>
      <w:r>
        <w:rPr>
          <w:rFonts w:ascii="仿宋" w:eastAsia="仿宋" w:hAnsi="仿宋" w:cs="Arial" w:hint="eastAsia"/>
          <w:color w:val="000000" w:themeColor="text1"/>
          <w:kern w:val="0"/>
          <w:sz w:val="32"/>
          <w:szCs w:val="32"/>
        </w:rPr>
        <w:t>根据《中华人民共和国著作权法》及其实施条例的有关规定，作者自报送作品至吉林省电化教育馆之日起，无偿授予吉林省电化教育馆该作品使用权，吉林省电化教育馆可以任何形式将报送资源进行展示和传播等。</w:t>
      </w:r>
    </w:p>
    <w:p w:rsidR="00AA4ECE" w:rsidRDefault="00126FA0">
      <w:pPr>
        <w:widowControl/>
        <w:shd w:val="clear" w:color="auto" w:fill="FFFFFF"/>
        <w:spacing w:line="360" w:lineRule="auto"/>
        <w:ind w:leftChars="50" w:left="105" w:firstLineChars="200" w:firstLine="640"/>
        <w:rPr>
          <w:rFonts w:eastAsia="仿宋_GB2312"/>
        </w:rPr>
      </w:pPr>
      <w:r>
        <w:rPr>
          <w:rFonts w:ascii="仿宋" w:eastAsia="仿宋" w:hAnsi="仿宋" w:cs="Arial" w:hint="eastAsia"/>
          <w:color w:val="000000" w:themeColor="text1"/>
          <w:kern w:val="0"/>
          <w:sz w:val="32"/>
          <w:szCs w:val="32"/>
        </w:rPr>
        <w:t>5</w:t>
      </w:r>
      <w:r>
        <w:rPr>
          <w:rFonts w:ascii="仿宋" w:eastAsia="仿宋" w:hAnsi="仿宋" w:cs="Arial"/>
          <w:color w:val="000000" w:themeColor="text1"/>
          <w:kern w:val="0"/>
          <w:sz w:val="32"/>
          <w:szCs w:val="32"/>
        </w:rPr>
        <w:t>.</w:t>
      </w:r>
      <w:r>
        <w:rPr>
          <w:rFonts w:ascii="仿宋" w:eastAsia="仿宋" w:hAnsi="仿宋" w:cs="Arial" w:hint="eastAsia"/>
          <w:color w:val="000000" w:themeColor="text1"/>
          <w:kern w:val="0"/>
          <w:sz w:val="32"/>
          <w:szCs w:val="32"/>
        </w:rPr>
        <w:t>本项活动最终解释权归吉林省电化</w:t>
      </w:r>
      <w:r>
        <w:rPr>
          <w:rFonts w:ascii="仿宋" w:eastAsia="仿宋" w:hAnsi="仿宋" w:hint="eastAsia"/>
          <w:color w:val="000000" w:themeColor="text1"/>
          <w:sz w:val="32"/>
          <w:szCs w:val="32"/>
        </w:rPr>
        <w:t>教育馆</w:t>
      </w:r>
      <w:r>
        <w:rPr>
          <w:rFonts w:ascii="仿宋" w:eastAsia="仿宋" w:hAnsi="仿宋" w:cs="Arial" w:hint="eastAsia"/>
          <w:color w:val="000000" w:themeColor="text1"/>
          <w:kern w:val="0"/>
          <w:sz w:val="32"/>
          <w:szCs w:val="32"/>
        </w:rPr>
        <w:t>所有。</w:t>
      </w:r>
    </w:p>
    <w:sectPr w:rsidR="00AA4E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4C4" w:rsidRDefault="002F44C4"/>
  </w:endnote>
  <w:endnote w:type="continuationSeparator" w:id="0">
    <w:p w:rsidR="002F44C4" w:rsidRDefault="002F4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4C4" w:rsidRDefault="002F44C4"/>
  </w:footnote>
  <w:footnote w:type="continuationSeparator" w:id="0">
    <w:p w:rsidR="002F44C4" w:rsidRDefault="002F44C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N2ZjMThmNmMyMjFjMWQyZjVmMjJmMTUyZjIyYTAifQ=="/>
  </w:docVars>
  <w:rsids>
    <w:rsidRoot w:val="71DB2F8B"/>
    <w:rsid w:val="00126FA0"/>
    <w:rsid w:val="002F44C4"/>
    <w:rsid w:val="006746C3"/>
    <w:rsid w:val="00762520"/>
    <w:rsid w:val="008A7D9C"/>
    <w:rsid w:val="00991ADF"/>
    <w:rsid w:val="00AA4ECE"/>
    <w:rsid w:val="00BA0325"/>
    <w:rsid w:val="00E7778E"/>
    <w:rsid w:val="03340AC7"/>
    <w:rsid w:val="045D3153"/>
    <w:rsid w:val="054545F6"/>
    <w:rsid w:val="05900FD6"/>
    <w:rsid w:val="06D575E9"/>
    <w:rsid w:val="09802DC1"/>
    <w:rsid w:val="0BBB03A2"/>
    <w:rsid w:val="0C552E79"/>
    <w:rsid w:val="0DED3871"/>
    <w:rsid w:val="0EFD6FC4"/>
    <w:rsid w:val="1232090E"/>
    <w:rsid w:val="12577104"/>
    <w:rsid w:val="13BA5B9C"/>
    <w:rsid w:val="16482398"/>
    <w:rsid w:val="16DC407B"/>
    <w:rsid w:val="193E4421"/>
    <w:rsid w:val="1A7A7A8A"/>
    <w:rsid w:val="1A9F162B"/>
    <w:rsid w:val="1CE617B0"/>
    <w:rsid w:val="1D183933"/>
    <w:rsid w:val="1E5E033F"/>
    <w:rsid w:val="20CC2EF5"/>
    <w:rsid w:val="212D2FD5"/>
    <w:rsid w:val="228D22CB"/>
    <w:rsid w:val="239B39E3"/>
    <w:rsid w:val="25337673"/>
    <w:rsid w:val="254D59BD"/>
    <w:rsid w:val="25D315FC"/>
    <w:rsid w:val="26DC6A34"/>
    <w:rsid w:val="281E2053"/>
    <w:rsid w:val="2886653D"/>
    <w:rsid w:val="28EF194A"/>
    <w:rsid w:val="296035E1"/>
    <w:rsid w:val="2A8327EF"/>
    <w:rsid w:val="2B3D0FAB"/>
    <w:rsid w:val="2B454493"/>
    <w:rsid w:val="2C585724"/>
    <w:rsid w:val="2CD177B2"/>
    <w:rsid w:val="2D68254E"/>
    <w:rsid w:val="2E7F6773"/>
    <w:rsid w:val="2F0138CA"/>
    <w:rsid w:val="32592965"/>
    <w:rsid w:val="32F9594C"/>
    <w:rsid w:val="38675A43"/>
    <w:rsid w:val="38B35A1A"/>
    <w:rsid w:val="396E2E01"/>
    <w:rsid w:val="399E2974"/>
    <w:rsid w:val="3C9506A5"/>
    <w:rsid w:val="3E065359"/>
    <w:rsid w:val="3E9739EC"/>
    <w:rsid w:val="3F9561C4"/>
    <w:rsid w:val="40D44E2C"/>
    <w:rsid w:val="44065ED8"/>
    <w:rsid w:val="45ED3300"/>
    <w:rsid w:val="46CB5083"/>
    <w:rsid w:val="477E5CB2"/>
    <w:rsid w:val="479814DE"/>
    <w:rsid w:val="4A723167"/>
    <w:rsid w:val="4B1E4D9A"/>
    <w:rsid w:val="4BC0643B"/>
    <w:rsid w:val="4DB5223A"/>
    <w:rsid w:val="4DC24B43"/>
    <w:rsid w:val="508E58AF"/>
    <w:rsid w:val="532C35FB"/>
    <w:rsid w:val="537A08C9"/>
    <w:rsid w:val="553067E3"/>
    <w:rsid w:val="5AEB3E5A"/>
    <w:rsid w:val="5B6036FA"/>
    <w:rsid w:val="5C1B076F"/>
    <w:rsid w:val="5D292A17"/>
    <w:rsid w:val="5E381DFB"/>
    <w:rsid w:val="5EA65E46"/>
    <w:rsid w:val="5FC112D6"/>
    <w:rsid w:val="62813525"/>
    <w:rsid w:val="63033D9A"/>
    <w:rsid w:val="64A64644"/>
    <w:rsid w:val="658B56FE"/>
    <w:rsid w:val="67373964"/>
    <w:rsid w:val="68D401A1"/>
    <w:rsid w:val="6B8D0052"/>
    <w:rsid w:val="6C8741E4"/>
    <w:rsid w:val="703D6AAE"/>
    <w:rsid w:val="71072C18"/>
    <w:rsid w:val="71DB2F8B"/>
    <w:rsid w:val="720475B8"/>
    <w:rsid w:val="735112E9"/>
    <w:rsid w:val="764F230E"/>
    <w:rsid w:val="772605D7"/>
    <w:rsid w:val="773A78A3"/>
    <w:rsid w:val="7A1939A1"/>
    <w:rsid w:val="7A5C5D83"/>
    <w:rsid w:val="7F2E2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center"/>
      <w:outlineLvl w:val="0"/>
    </w:pPr>
    <w:rPr>
      <w:rFonts w:ascii="Cambria" w:hAnsi="Cambria"/>
      <w:b/>
      <w:bCs/>
      <w:sz w:val="32"/>
      <w:szCs w:val="32"/>
    </w:rPr>
  </w:style>
  <w:style w:type="paragraph" w:styleId="a4">
    <w:name w:val="Body Text Indent"/>
    <w:basedOn w:val="a"/>
    <w:next w:val="a"/>
    <w:qFormat/>
    <w:pPr>
      <w:spacing w:after="120"/>
      <w:ind w:leftChars="200" w:left="420"/>
    </w:p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7">
    <w:name w:val="List Paragraph"/>
    <w:basedOn w:val="a"/>
    <w:uiPriority w:val="34"/>
    <w:qFormat/>
    <w:pPr>
      <w:ind w:firstLineChars="200" w:firstLine="420"/>
    </w:pPr>
    <w:rPr>
      <w:rFonts w:ascii="Calibri" w:hAnsi="Calibri"/>
      <w:szCs w:val="22"/>
    </w:rPr>
  </w:style>
  <w:style w:type="paragraph" w:customStyle="1" w:styleId="a8">
    <w:name w:val="正文标准格式"/>
    <w:qFormat/>
    <w:pPr>
      <w:widowControl w:val="0"/>
      <w:spacing w:line="520" w:lineRule="exact"/>
      <w:ind w:firstLineChars="200" w:firstLine="200"/>
      <w:jc w:val="both"/>
    </w:pPr>
    <w:rPr>
      <w:rFonts w:ascii="仿宋_GB2312" w:eastAsia="仿宋_GB2312" w:hAnsi="仿宋"/>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before="240" w:after="60"/>
      <w:jc w:val="center"/>
      <w:outlineLvl w:val="0"/>
    </w:pPr>
    <w:rPr>
      <w:rFonts w:ascii="Cambria" w:hAnsi="Cambria"/>
      <w:b/>
      <w:bCs/>
      <w:sz w:val="32"/>
      <w:szCs w:val="32"/>
    </w:rPr>
  </w:style>
  <w:style w:type="paragraph" w:styleId="a4">
    <w:name w:val="Body Text Indent"/>
    <w:basedOn w:val="a"/>
    <w:next w:val="a"/>
    <w:qFormat/>
    <w:pPr>
      <w:spacing w:after="120"/>
      <w:ind w:leftChars="200" w:left="420"/>
    </w:p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7">
    <w:name w:val="List Paragraph"/>
    <w:basedOn w:val="a"/>
    <w:uiPriority w:val="34"/>
    <w:qFormat/>
    <w:pPr>
      <w:ind w:firstLineChars="200" w:firstLine="420"/>
    </w:pPr>
    <w:rPr>
      <w:rFonts w:ascii="Calibri" w:hAnsi="Calibri"/>
      <w:szCs w:val="22"/>
    </w:rPr>
  </w:style>
  <w:style w:type="paragraph" w:customStyle="1" w:styleId="a8">
    <w:name w:val="正文标准格式"/>
    <w:qFormat/>
    <w:pPr>
      <w:widowControl w:val="0"/>
      <w:spacing w:line="520" w:lineRule="exact"/>
      <w:ind w:firstLineChars="200" w:firstLine="200"/>
      <w:jc w:val="both"/>
    </w:pPr>
    <w:rPr>
      <w:rFonts w:ascii="仿宋_GB2312" w:eastAsia="仿宋_GB2312" w:hAnsi="仿宋"/>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icbc</dc:creator>
  <cp:lastModifiedBy>Administrator</cp:lastModifiedBy>
  <cp:revision>5</cp:revision>
  <dcterms:created xsi:type="dcterms:W3CDTF">2023-06-06T05:51:00Z</dcterms:created>
  <dcterms:modified xsi:type="dcterms:W3CDTF">2023-06-08T00:58:00Z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488636EEDE2C4042B933171BB9603B32</vt:lpwstr>
  </property>
</Properties>
</file>