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C20CAE">
      <w:pPr>
        <w:pStyle w:val="5"/>
        <w:pageBreakBefore w:val="0"/>
        <w:widowControl w:val="0"/>
        <w:kinsoku/>
        <w:wordWrap/>
        <w:overflowPunct/>
        <w:topLinePunct w:val="0"/>
        <w:autoSpaceDE/>
        <w:autoSpaceDN/>
        <w:bidi w:val="0"/>
        <w:adjustRightInd/>
        <w:snapToGrid/>
        <w:spacing w:before="0" w:after="0" w:line="360" w:lineRule="auto"/>
        <w:jc w:val="left"/>
        <w:textAlignment w:val="auto"/>
        <w:rPr>
          <w:rFonts w:hint="eastAsia" w:ascii="黑体" w:hAnsi="黑体" w:eastAsia="黑体" w:cs="黑体"/>
          <w:kern w:val="2"/>
          <w:sz w:val="28"/>
          <w:szCs w:val="28"/>
          <w:lang w:val="en-US" w:eastAsia="zh-CN"/>
        </w:rPr>
      </w:pPr>
      <w:r>
        <w:rPr>
          <w:rFonts w:hint="eastAsia" w:ascii="宋体" w:hAnsi="宋体"/>
          <w:b w:val="0"/>
          <w:bCs w:val="0"/>
          <w:kern w:val="2"/>
          <w:sz w:val="28"/>
          <w:szCs w:val="28"/>
          <w:lang w:val="en-US" w:eastAsia="zh-CN"/>
        </w:rPr>
        <w:t>附件2：</w:t>
      </w:r>
      <w:r>
        <w:rPr>
          <w:rFonts w:hint="eastAsia" w:ascii="宋体" w:hAnsi="宋体"/>
          <w:kern w:val="2"/>
          <w:sz w:val="28"/>
          <w:szCs w:val="28"/>
          <w:lang w:val="en-US" w:eastAsia="zh-CN"/>
        </w:rPr>
        <w:t xml:space="preserve"> </w:t>
      </w:r>
    </w:p>
    <w:p w14:paraId="2E8EA233">
      <w:pPr>
        <w:pStyle w:val="5"/>
        <w:pageBreakBefore w:val="0"/>
        <w:widowControl w:val="0"/>
        <w:kinsoku/>
        <w:wordWrap/>
        <w:overflowPunct/>
        <w:topLinePunct w:val="0"/>
        <w:autoSpaceDE/>
        <w:autoSpaceDN/>
        <w:bidi w:val="0"/>
        <w:adjustRightInd/>
        <w:snapToGrid/>
        <w:spacing w:line="360" w:lineRule="auto"/>
        <w:jc w:val="center"/>
        <w:textAlignment w:val="auto"/>
        <w:rPr>
          <w:rFonts w:ascii="宋体" w:hAnsi="宋体"/>
          <w:color w:val="auto"/>
          <w:kern w:val="2"/>
          <w:szCs w:val="40"/>
        </w:rPr>
      </w:pPr>
      <w:r>
        <w:rPr>
          <w:rFonts w:hint="eastAsia" w:ascii="宋体" w:hAnsi="宋体"/>
          <w:color w:val="auto"/>
          <w:kern w:val="2"/>
          <w:szCs w:val="40"/>
          <w:lang w:val="en-US" w:eastAsia="zh-CN"/>
        </w:rPr>
        <w:t xml:space="preserve"> </w:t>
      </w:r>
      <w:r>
        <w:rPr>
          <w:rFonts w:hint="eastAsia" w:ascii="宋体" w:hAnsi="宋体"/>
          <w:color w:val="auto"/>
          <w:kern w:val="2"/>
          <w:szCs w:val="40"/>
        </w:rPr>
        <w:t>中</w:t>
      </w:r>
      <w:r>
        <w:rPr>
          <w:rFonts w:ascii="宋体" w:hAnsi="宋体"/>
          <w:color w:val="auto"/>
          <w:kern w:val="2"/>
          <w:szCs w:val="40"/>
        </w:rPr>
        <w:t>小学幼儿园教师</w:t>
      </w:r>
      <w:r>
        <w:rPr>
          <w:rFonts w:hint="eastAsia" w:ascii="宋体" w:hAnsi="宋体"/>
          <w:color w:val="auto"/>
          <w:kern w:val="2"/>
          <w:szCs w:val="40"/>
          <w:lang w:eastAsia="zh-CN"/>
        </w:rPr>
        <w:t>专项培训</w:t>
      </w:r>
      <w:r>
        <w:rPr>
          <w:rFonts w:ascii="宋体" w:hAnsi="宋体"/>
          <w:color w:val="auto"/>
          <w:kern w:val="2"/>
          <w:szCs w:val="40"/>
        </w:rPr>
        <w:t>项目申报指南</w:t>
      </w:r>
    </w:p>
    <w:p w14:paraId="6A922F07">
      <w:pPr>
        <w:keepNext w:val="0"/>
        <w:keepLines w:val="0"/>
        <w:pageBreakBefore w:val="0"/>
        <w:widowControl w:val="0"/>
        <w:kinsoku/>
        <w:wordWrap/>
        <w:overflowPunct/>
        <w:topLinePunct w:val="0"/>
        <w:autoSpaceDE/>
        <w:autoSpaceDN/>
        <w:bidi w:val="0"/>
        <w:adjustRightInd/>
        <w:snapToGrid/>
        <w:spacing w:line="240" w:lineRule="auto"/>
        <w:ind w:leftChars="0" w:firstLine="640" w:firstLineChars="200"/>
        <w:jc w:val="both"/>
        <w:textAlignment w:val="auto"/>
        <w:rPr>
          <w:rFonts w:ascii="Times New Roman" w:hAnsi="Times New Roman" w:eastAsia="仿宋_GB2312"/>
          <w:color w:val="auto"/>
          <w:sz w:val="32"/>
          <w:szCs w:val="32"/>
          <w:highlight w:val="none"/>
        </w:rPr>
      </w:pPr>
      <w:r>
        <w:rPr>
          <w:rFonts w:ascii="Times New Roman" w:hAnsi="Times New Roman" w:eastAsia="仿宋_GB2312"/>
          <w:color w:val="auto"/>
          <w:sz w:val="32"/>
          <w:szCs w:val="32"/>
          <w:highlight w:val="none"/>
        </w:rPr>
        <w:t>为全面贯彻《中共中央国务院关于全面深化新时代教师队伍建设改革的意见》要求，结合我</w:t>
      </w:r>
      <w:r>
        <w:rPr>
          <w:rFonts w:hint="eastAsia" w:ascii="Times New Roman" w:hAnsi="Times New Roman" w:eastAsia="仿宋_GB2312"/>
          <w:color w:val="auto"/>
          <w:sz w:val="32"/>
          <w:szCs w:val="32"/>
          <w:highlight w:val="none"/>
          <w:lang w:val="en-US" w:eastAsia="zh-CN"/>
        </w:rPr>
        <w:t>州</w:t>
      </w:r>
      <w:r>
        <w:rPr>
          <w:rFonts w:ascii="Times New Roman" w:hAnsi="Times New Roman" w:eastAsia="仿宋_GB2312"/>
          <w:color w:val="auto"/>
          <w:sz w:val="32"/>
          <w:szCs w:val="32"/>
          <w:highlight w:val="none"/>
        </w:rPr>
        <w:t>中小学幼儿园教师专业发展现状和培训需求，为切实提高项目申报质量，特制定本指南。</w:t>
      </w:r>
    </w:p>
    <w:p w14:paraId="2A2D39F5">
      <w:pPr>
        <w:pStyle w:val="2"/>
        <w:keepNext w:val="0"/>
        <w:keepLines w:val="0"/>
        <w:pageBreakBefore w:val="0"/>
        <w:widowControl w:val="0"/>
        <w:numPr>
          <w:ilvl w:val="0"/>
          <w:numId w:val="1"/>
        </w:numPr>
        <w:kinsoku/>
        <w:wordWrap/>
        <w:overflowPunct/>
        <w:topLinePunct w:val="0"/>
        <w:autoSpaceDE/>
        <w:autoSpaceDN/>
        <w:bidi w:val="0"/>
        <w:adjustRightInd/>
        <w:snapToGrid/>
        <w:spacing w:after="0" w:afterLines="0" w:line="240" w:lineRule="auto"/>
        <w:ind w:left="0" w:leftChars="0" w:firstLine="640" w:firstLineChars="200"/>
        <w:jc w:val="both"/>
        <w:textAlignment w:val="auto"/>
        <w:rPr>
          <w:rFonts w:hint="eastAsia" w:ascii="黑体" w:hAnsi="黑体" w:eastAsia="黑体" w:cs="黑体"/>
          <w:b w:val="0"/>
          <w:bCs w:val="0"/>
          <w:color w:val="auto"/>
          <w:kern w:val="2"/>
          <w:sz w:val="32"/>
          <w:szCs w:val="32"/>
          <w:lang w:val="en-US" w:eastAsia="zh-CN" w:bidi="ar-SA"/>
        </w:rPr>
      </w:pPr>
      <w:r>
        <w:rPr>
          <w:rFonts w:hint="eastAsia" w:ascii="黑体" w:hAnsi="黑体" w:eastAsia="黑体" w:cs="黑体"/>
          <w:color w:val="auto"/>
          <w:sz w:val="32"/>
          <w:szCs w:val="32"/>
          <w:lang w:val="en-US" w:eastAsia="zh-CN"/>
        </w:rPr>
        <w:t>延边州第四届名校长、骨干校（园）长培养对象培训</w:t>
      </w:r>
    </w:p>
    <w:p w14:paraId="3E8E0505">
      <w:pPr>
        <w:ind w:firstLine="640" w:firstLineChars="200"/>
        <w:rPr>
          <w:rFonts w:hint="eastAsia" w:ascii="黑体" w:hAnsi="黑体" w:eastAsia="仿宋" w:cs="黑体"/>
          <w:color w:val="auto"/>
          <w:sz w:val="32"/>
          <w:szCs w:val="32"/>
          <w:lang w:val="en-US" w:eastAsia="zh-CN"/>
        </w:rPr>
      </w:pPr>
      <w:r>
        <w:rPr>
          <w:rFonts w:hint="eastAsia" w:ascii="仿宋" w:hAnsi="仿宋" w:eastAsia="仿宋" w:cs="仿宋"/>
          <w:color w:val="auto"/>
          <w:sz w:val="32"/>
          <w:szCs w:val="32"/>
        </w:rPr>
        <w:t>根据《延边州第四批</w:t>
      </w:r>
      <w:r>
        <w:rPr>
          <w:rFonts w:hint="eastAsia" w:ascii="仿宋" w:hAnsi="仿宋" w:eastAsia="仿宋" w:cs="仿宋"/>
          <w:color w:val="auto"/>
          <w:sz w:val="32"/>
          <w:szCs w:val="32"/>
          <w:lang w:val="en-US" w:eastAsia="zh-Hans"/>
        </w:rPr>
        <w:t>名</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骨干校（</w:t>
      </w:r>
      <w:r>
        <w:rPr>
          <w:rFonts w:hint="eastAsia" w:ascii="仿宋" w:hAnsi="仿宋" w:eastAsia="仿宋" w:cs="仿宋"/>
          <w:color w:val="auto"/>
          <w:sz w:val="32"/>
          <w:szCs w:val="32"/>
          <w:lang w:val="en-US" w:eastAsia="zh-Hans"/>
        </w:rPr>
        <w:t>园</w:t>
      </w:r>
      <w:r>
        <w:rPr>
          <w:rFonts w:hint="eastAsia" w:ascii="仿宋" w:hAnsi="仿宋" w:eastAsia="仿宋" w:cs="仿宋"/>
          <w:color w:val="auto"/>
          <w:sz w:val="32"/>
          <w:szCs w:val="32"/>
          <w:lang w:eastAsia="zh-Hans"/>
        </w:rPr>
        <w:t>）</w:t>
      </w:r>
      <w:r>
        <w:rPr>
          <w:rFonts w:hint="eastAsia" w:ascii="仿宋" w:hAnsi="仿宋" w:eastAsia="仿宋" w:cs="仿宋"/>
          <w:color w:val="auto"/>
          <w:sz w:val="32"/>
          <w:szCs w:val="32"/>
        </w:rPr>
        <w:t>长培养</w:t>
      </w:r>
      <w:r>
        <w:rPr>
          <w:rFonts w:hint="eastAsia" w:ascii="仿宋" w:hAnsi="仿宋" w:eastAsia="仿宋" w:cs="仿宋"/>
          <w:color w:val="auto"/>
          <w:sz w:val="32"/>
          <w:szCs w:val="32"/>
          <w:lang w:eastAsia="zh-CN"/>
        </w:rPr>
        <w:t>对象培养</w:t>
      </w:r>
      <w:r>
        <w:rPr>
          <w:rFonts w:hint="eastAsia" w:ascii="仿宋" w:hAnsi="仿宋" w:eastAsia="仿宋" w:cs="仿宋"/>
          <w:color w:val="auto"/>
          <w:sz w:val="32"/>
          <w:szCs w:val="32"/>
        </w:rPr>
        <w:t>方案（2023—2025）》</w:t>
      </w:r>
      <w:r>
        <w:rPr>
          <w:rFonts w:hint="eastAsia" w:ascii="仿宋" w:hAnsi="仿宋" w:eastAsia="仿宋" w:cs="仿宋"/>
          <w:color w:val="auto"/>
          <w:sz w:val="32"/>
          <w:szCs w:val="32"/>
          <w:lang w:eastAsia="zh-CN"/>
        </w:rPr>
        <w:t>安排</w:t>
      </w: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rPr>
        <w:t>年下半年，</w:t>
      </w:r>
      <w:r>
        <w:rPr>
          <w:rFonts w:hint="eastAsia" w:ascii="仿宋" w:hAnsi="仿宋" w:eastAsia="仿宋" w:cs="仿宋"/>
          <w:color w:val="auto"/>
          <w:sz w:val="32"/>
          <w:szCs w:val="32"/>
          <w:highlight w:val="none"/>
        </w:rPr>
        <w:t>组织</w:t>
      </w:r>
      <w:r>
        <w:rPr>
          <w:rFonts w:hint="eastAsia" w:ascii="仿宋" w:hAnsi="仿宋" w:eastAsia="仿宋" w:cs="仿宋"/>
          <w:color w:val="auto"/>
          <w:sz w:val="32"/>
          <w:szCs w:val="32"/>
          <w:highlight w:val="none"/>
          <w:lang w:val="en-US" w:eastAsia="zh-CN"/>
        </w:rPr>
        <w:t>50</w:t>
      </w:r>
      <w:r>
        <w:rPr>
          <w:rFonts w:hint="eastAsia" w:ascii="仿宋" w:hAnsi="仿宋" w:eastAsia="仿宋" w:cs="仿宋"/>
          <w:color w:val="auto"/>
          <w:sz w:val="32"/>
          <w:szCs w:val="32"/>
          <w:highlight w:val="none"/>
        </w:rPr>
        <w:t>名</w:t>
      </w:r>
      <w:r>
        <w:rPr>
          <w:rFonts w:hint="eastAsia" w:ascii="仿宋" w:hAnsi="仿宋" w:eastAsia="仿宋" w:cs="仿宋"/>
          <w:color w:val="auto"/>
          <w:sz w:val="32"/>
          <w:szCs w:val="32"/>
          <w:highlight w:val="none"/>
          <w:lang w:eastAsia="zh-CN"/>
        </w:rPr>
        <w:t>（人数以实际参加培训人数为准）培养对象及其指导团队人员</w:t>
      </w:r>
      <w:r>
        <w:rPr>
          <w:rFonts w:hint="eastAsia" w:ascii="仿宋" w:hAnsi="仿宋" w:eastAsia="仿宋" w:cs="仿宋"/>
          <w:color w:val="auto"/>
          <w:sz w:val="32"/>
          <w:szCs w:val="32"/>
          <w:highlight w:val="none"/>
        </w:rPr>
        <w:t>赴省外参加培训</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时长为7天（含报到与返程）</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rPr>
        <w:t>培训</w:t>
      </w:r>
      <w:r>
        <w:rPr>
          <w:rFonts w:hint="eastAsia" w:ascii="仿宋" w:hAnsi="仿宋" w:eastAsia="仿宋" w:cs="仿宋"/>
          <w:color w:val="auto"/>
          <w:sz w:val="32"/>
          <w:szCs w:val="32"/>
          <w:lang w:eastAsia="zh-CN"/>
        </w:rPr>
        <w:t>以厚植教育家精神，</w:t>
      </w:r>
      <w:r>
        <w:rPr>
          <w:rFonts w:hint="eastAsia" w:ascii="仿宋" w:hAnsi="仿宋" w:eastAsia="仿宋" w:cs="仿宋"/>
          <w:color w:val="auto"/>
          <w:sz w:val="32"/>
          <w:szCs w:val="32"/>
        </w:rPr>
        <w:t>落实《义务教育中小学校长专业标准》为总体目标，以提升</w:t>
      </w:r>
      <w:r>
        <w:rPr>
          <w:rFonts w:hint="eastAsia" w:ascii="仿宋" w:hAnsi="仿宋" w:eastAsia="仿宋" w:cs="仿宋"/>
          <w:color w:val="auto"/>
          <w:sz w:val="32"/>
          <w:szCs w:val="32"/>
          <w:lang w:eastAsia="zh-CN"/>
        </w:rPr>
        <w:t>校长价值领导力，推动区域教育成果凝练转化</w:t>
      </w:r>
      <w:r>
        <w:rPr>
          <w:rFonts w:hint="eastAsia" w:ascii="仿宋" w:hAnsi="仿宋" w:eastAsia="仿宋" w:cs="仿宋"/>
          <w:color w:val="auto"/>
          <w:sz w:val="32"/>
          <w:szCs w:val="32"/>
        </w:rPr>
        <w:t>为具体目标，</w:t>
      </w:r>
      <w:r>
        <w:rPr>
          <w:rFonts w:hint="eastAsia" w:ascii="仿宋" w:hAnsi="仿宋" w:eastAsia="仿宋" w:cs="仿宋"/>
          <w:color w:val="auto"/>
          <w:sz w:val="32"/>
          <w:szCs w:val="32"/>
          <w:lang w:eastAsia="zh-CN"/>
        </w:rPr>
        <w:t>依托省外优质资源，采用</w:t>
      </w:r>
      <w:r>
        <w:rPr>
          <w:rFonts w:hint="eastAsia" w:ascii="仿宋" w:hAnsi="仿宋" w:eastAsia="仿宋" w:cs="仿宋"/>
          <w:color w:val="auto"/>
          <w:sz w:val="32"/>
          <w:szCs w:val="32"/>
        </w:rPr>
        <w:t>专题讲座、案例教学、名校访学、交流研讨等</w:t>
      </w:r>
      <w:r>
        <w:rPr>
          <w:rFonts w:hint="eastAsia" w:ascii="仿宋" w:hAnsi="仿宋" w:eastAsia="仿宋" w:cs="仿宋"/>
          <w:color w:val="auto"/>
          <w:sz w:val="32"/>
          <w:szCs w:val="32"/>
          <w:lang w:eastAsia="zh-CN"/>
        </w:rPr>
        <w:t>形</w:t>
      </w:r>
      <w:r>
        <w:rPr>
          <w:rFonts w:hint="eastAsia" w:ascii="仿宋" w:hAnsi="仿宋" w:eastAsia="仿宋" w:cs="仿宋"/>
          <w:color w:val="auto"/>
          <w:sz w:val="32"/>
          <w:szCs w:val="32"/>
        </w:rPr>
        <w:t>式，</w:t>
      </w:r>
      <w:r>
        <w:rPr>
          <w:rFonts w:hint="eastAsia" w:ascii="仿宋" w:hAnsi="仿宋" w:eastAsia="仿宋" w:cs="仿宋"/>
          <w:color w:val="auto"/>
          <w:sz w:val="32"/>
          <w:szCs w:val="32"/>
          <w:lang w:eastAsia="zh-CN"/>
        </w:rPr>
        <w:t>系统学习学校治理、课程创新等先进经验，进一步校准校长办学思想，提炼兼具区域特色与全国视野的实践成果；对标全国基础教育奖探索示范辐射路径，助力校长实现从“县域骨干校长”到“州域名校长”的进阶，为延边州教育改革引入可借鉴的外部经验，高质量完成培养工程终期工作。</w:t>
      </w:r>
    </w:p>
    <w:p w14:paraId="39BD51B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40" w:firstLineChars="20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b w:val="0"/>
          <w:bCs w:val="0"/>
          <w:sz w:val="32"/>
          <w:szCs w:val="32"/>
          <w:highlight w:val="none"/>
          <w:lang w:val="en-US" w:eastAsia="zh-CN"/>
        </w:rPr>
        <w:t>二、</w:t>
      </w:r>
      <w:r>
        <w:rPr>
          <w:rFonts w:hint="eastAsia" w:ascii="黑体" w:hAnsi="黑体" w:eastAsia="黑体" w:cs="黑体"/>
          <w:kern w:val="2"/>
          <w:sz w:val="32"/>
          <w:szCs w:val="32"/>
          <w:lang w:val="en-US" w:eastAsia="zh-CN" w:bidi="ar-SA"/>
        </w:rPr>
        <w:t>延边州中小学骨干教师、兼职教研员教学改革与创新能力提升培训</w:t>
      </w:r>
    </w:p>
    <w:p w14:paraId="46CB611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both"/>
        <w:textAlignment w:val="auto"/>
        <w:rPr>
          <w:rFonts w:hint="eastAsia"/>
          <w:color w:val="4472C4" w:themeColor="accent1"/>
          <w:lang w:val="en-US" w:eastAsia="zh-CN"/>
          <w14:textFill>
            <w14:solidFill>
              <w14:schemeClr w14:val="accent1"/>
            </w14:solidFill>
          </w14:textFill>
        </w:rPr>
      </w:pPr>
      <w:r>
        <w:rPr>
          <w:rFonts w:hint="eastAsia"/>
          <w:lang w:val="en-US" w:eastAsia="zh-CN"/>
        </w:rPr>
        <w:t xml:space="preserve">  </w:t>
      </w:r>
      <w:r>
        <w:rPr>
          <w:rFonts w:hint="eastAsia" w:ascii="仿宋" w:hAnsi="仿宋" w:eastAsia="仿宋" w:cs="仿宋"/>
          <w:sz w:val="32"/>
          <w:szCs w:val="32"/>
          <w:lang w:val="en-US" w:eastAsia="zh-CN"/>
        </w:rPr>
        <w:t>按照中共中央、国务院《关于全面深化新时代教师队伍建设改革的意见》的要求，2025</w:t>
      </w:r>
      <w:r>
        <w:rPr>
          <w:rFonts w:hint="eastAsia" w:ascii="仿宋" w:hAnsi="仿宋" w:eastAsia="仿宋" w:cs="仿宋"/>
          <w:sz w:val="32"/>
          <w:szCs w:val="32"/>
        </w:rPr>
        <w:t>年下半年组织</w:t>
      </w:r>
      <w:r>
        <w:rPr>
          <w:rFonts w:hint="eastAsia" w:ascii="仿宋" w:hAnsi="仿宋" w:eastAsia="仿宋" w:cs="仿宋"/>
          <w:sz w:val="32"/>
          <w:szCs w:val="32"/>
          <w:lang w:val="en-US" w:eastAsia="zh-CN"/>
        </w:rPr>
        <w:t>48</w:t>
      </w:r>
      <w:bookmarkStart w:id="0" w:name="_GoBack"/>
      <w:bookmarkEnd w:id="0"/>
      <w:r>
        <w:rPr>
          <w:rFonts w:hint="eastAsia" w:ascii="仿宋" w:hAnsi="仿宋" w:eastAsia="仿宋" w:cs="仿宋"/>
          <w:sz w:val="32"/>
          <w:szCs w:val="32"/>
          <w:lang w:eastAsia="zh-CN"/>
        </w:rPr>
        <w:t>位</w:t>
      </w:r>
      <w:r>
        <w:rPr>
          <w:rFonts w:hint="eastAsia" w:ascii="仿宋" w:hAnsi="仿宋" w:eastAsia="仿宋" w:cs="仿宋"/>
          <w:sz w:val="32"/>
          <w:szCs w:val="32"/>
          <w:lang w:val="en-US" w:eastAsia="zh-CN"/>
        </w:rPr>
        <w:t>名优骨干教</w:t>
      </w:r>
      <w:r>
        <w:rPr>
          <w:rFonts w:hint="eastAsia" w:ascii="仿宋" w:hAnsi="仿宋" w:eastAsia="仿宋" w:cs="仿宋"/>
          <w:sz w:val="32"/>
          <w:szCs w:val="32"/>
          <w:lang w:eastAsia="zh-CN"/>
        </w:rPr>
        <w:t>师</w:t>
      </w:r>
      <w:r>
        <w:rPr>
          <w:rFonts w:hint="eastAsia" w:ascii="仿宋" w:hAnsi="仿宋" w:eastAsia="仿宋" w:cs="仿宋"/>
          <w:color w:val="auto"/>
          <w:sz w:val="32"/>
          <w:szCs w:val="32"/>
          <w:lang w:eastAsia="zh-CN"/>
        </w:rPr>
        <w:t>（人数以实际参加培训人数为准）</w:t>
      </w:r>
      <w:r>
        <w:rPr>
          <w:rFonts w:hint="eastAsia" w:ascii="仿宋" w:hAnsi="仿宋" w:eastAsia="仿宋" w:cs="仿宋"/>
          <w:sz w:val="32"/>
          <w:szCs w:val="32"/>
        </w:rPr>
        <w:t>赴省外参加培训</w:t>
      </w:r>
      <w:r>
        <w:rPr>
          <w:rFonts w:hint="eastAsia" w:ascii="仿宋" w:hAnsi="仿宋" w:eastAsia="仿宋" w:cs="仿宋"/>
          <w:sz w:val="32"/>
          <w:szCs w:val="32"/>
          <w:lang w:eastAsia="zh-CN"/>
        </w:rPr>
        <w:t>。培训立足造就党和人民满意的高素质专业化创新型教师队伍的战略目标，应设计</w:t>
      </w:r>
      <w:r>
        <w:rPr>
          <w:rFonts w:ascii="Times New Roman" w:hAnsi="Times New Roman" w:eastAsia="仿宋_GB2312"/>
          <w:sz w:val="32"/>
          <w:szCs w:val="32"/>
        </w:rPr>
        <w:t>专题讲座、案例教学、名校访学、交流研讨</w:t>
      </w:r>
      <w:r>
        <w:rPr>
          <w:rFonts w:hint="eastAsia" w:ascii="Times New Roman" w:hAnsi="Times New Roman" w:eastAsia="仿宋_GB2312"/>
          <w:sz w:val="32"/>
          <w:szCs w:val="32"/>
          <w:lang w:eastAsia="zh-CN"/>
        </w:rPr>
        <w:t>等理论与实践结合的培训课程，</w:t>
      </w:r>
      <w:r>
        <w:rPr>
          <w:rFonts w:hint="eastAsia" w:ascii="仿宋" w:hAnsi="仿宋" w:eastAsia="仿宋" w:cs="仿宋"/>
          <w:sz w:val="32"/>
          <w:szCs w:val="32"/>
          <w:lang w:eastAsia="zh-CN"/>
        </w:rPr>
        <w:t>指向</w:t>
      </w:r>
      <w:r>
        <w:rPr>
          <w:rFonts w:hint="eastAsia" w:ascii="仿宋" w:hAnsi="仿宋" w:eastAsia="仿宋" w:cs="仿宋"/>
          <w:sz w:val="32"/>
          <w:szCs w:val="32"/>
          <w:lang w:val="en-US" w:eastAsia="zh-CN"/>
        </w:rPr>
        <w:t>教</w:t>
      </w:r>
      <w:r>
        <w:rPr>
          <w:rFonts w:hint="eastAsia" w:ascii="仿宋" w:hAnsi="仿宋" w:eastAsia="仿宋" w:cs="仿宋"/>
          <w:sz w:val="32"/>
          <w:szCs w:val="32"/>
          <w:lang w:eastAsia="zh-CN"/>
        </w:rPr>
        <w:t>师专业发展的教学理论、教学技能、教学策略、教学风格，实现文化传承、思想传播、价值塑造、教育公平，促进学生健康成长和全面发展。</w:t>
      </w:r>
      <w:r>
        <w:rPr>
          <w:rFonts w:hint="eastAsia" w:ascii="黑体" w:hAnsi="黑体" w:eastAsia="黑体" w:cs="黑体"/>
          <w:color w:val="4472C4" w:themeColor="accent1"/>
          <w:sz w:val="32"/>
          <w:szCs w:val="32"/>
          <w14:textFill>
            <w14:solidFill>
              <w14:schemeClr w14:val="accent1"/>
            </w14:solidFill>
          </w14:textFill>
        </w:rPr>
        <w:br w:type="textWrapping"/>
      </w:r>
      <w:r>
        <w:rPr>
          <w:rFonts w:hint="eastAsia" w:ascii="黑体" w:hAnsi="黑体" w:eastAsia="黑体" w:cs="黑体"/>
          <w:color w:val="4472C4" w:themeColor="accent1"/>
          <w:sz w:val="32"/>
          <w:szCs w:val="32"/>
          <w:lang w:val="en-US" w:eastAsia="zh-CN"/>
          <w14:textFill>
            <w14:solidFill>
              <w14:schemeClr w14:val="accent1"/>
            </w14:solidFill>
          </w14:textFill>
        </w:rPr>
        <w:t xml:space="preserve">   </w:t>
      </w:r>
      <w:r>
        <w:rPr>
          <w:rFonts w:hint="eastAsia" w:ascii="黑体" w:hAnsi="黑体" w:eastAsia="黑体" w:cs="黑体"/>
          <w:color w:val="4472C4" w:themeColor="accent1"/>
          <w:sz w:val="32"/>
          <w:szCs w:val="32"/>
          <w:highlight w:val="none"/>
          <w:lang w:val="en-US" w:eastAsia="zh-CN"/>
          <w14:textFill>
            <w14:solidFill>
              <w14:schemeClr w14:val="accent1"/>
            </w14:solidFill>
          </w14:textFill>
        </w:rPr>
        <w:t xml:space="preserve"> </w:t>
      </w:r>
      <w:r>
        <w:rPr>
          <w:rFonts w:hint="eastAsia" w:ascii="黑体" w:hAnsi="黑体" w:eastAsia="黑体" w:cs="黑体"/>
          <w:color w:val="auto"/>
          <w:sz w:val="32"/>
          <w:szCs w:val="32"/>
          <w:highlight w:val="none"/>
          <w:lang w:val="en-US" w:eastAsia="zh-CN"/>
        </w:rPr>
        <w:t>三、延边州普通高中教学改革与创新能力提升培训</w:t>
      </w:r>
      <w:r>
        <w:rPr>
          <w:rFonts w:hint="eastAsia" w:ascii="黑体" w:hAnsi="黑体" w:eastAsia="黑体" w:cs="黑体"/>
          <w:color w:val="4472C4" w:themeColor="accent1"/>
          <w:sz w:val="32"/>
          <w:szCs w:val="32"/>
          <w:highlight w:val="none"/>
          <w14:textFill>
            <w14:solidFill>
              <w14:schemeClr w14:val="accent1"/>
            </w14:solidFill>
          </w14:textFill>
        </w:rPr>
        <w:br w:type="textWrapping"/>
      </w:r>
      <w:r>
        <w:rPr>
          <w:rFonts w:hint="eastAsia" w:ascii="仿宋" w:hAnsi="仿宋" w:eastAsia="仿宋" w:cs="仿宋"/>
          <w:color w:val="4472C4" w:themeColor="accent1"/>
          <w:sz w:val="32"/>
          <w:szCs w:val="32"/>
          <w:highlight w:val="none"/>
          <w:lang w:val="en-US" w:eastAsia="zh-CN"/>
          <w14:textFill>
            <w14:solidFill>
              <w14:schemeClr w14:val="accent1"/>
            </w14:solidFill>
          </w14:textFill>
        </w:rPr>
        <w:t xml:space="preserve">    </w:t>
      </w:r>
      <w:r>
        <w:rPr>
          <w:rFonts w:hint="eastAsia" w:ascii="仿宋_GB2312" w:hAnsi="仿宋_GB2312" w:eastAsia="仿宋_GB2312" w:cs="仿宋_GB2312"/>
          <w:sz w:val="32"/>
          <w:szCs w:val="32"/>
          <w:highlight w:val="none"/>
          <w:lang w:val="en-US" w:eastAsia="zh-CN"/>
        </w:rPr>
        <w:t>根据教育部办公厅《基础教育课程教学改革深化行动方案》的要求，带领全州高中教学管理人员和优秀骨干教师52人</w:t>
      </w:r>
      <w:r>
        <w:rPr>
          <w:rFonts w:hint="eastAsia" w:ascii="仿宋_GB2312" w:hAnsi="仿宋_GB2312" w:eastAsia="仿宋_GB2312" w:cs="仿宋_GB2312"/>
          <w:sz w:val="32"/>
          <w:szCs w:val="32"/>
          <w:highlight w:val="none"/>
          <w:lang w:eastAsia="zh-CN"/>
        </w:rPr>
        <w:t>（人数以实际参加培训人数为准）</w:t>
      </w:r>
      <w:r>
        <w:rPr>
          <w:rFonts w:hint="eastAsia" w:ascii="仿宋_GB2312" w:hAnsi="仿宋_GB2312" w:eastAsia="仿宋_GB2312" w:cs="仿宋_GB2312"/>
          <w:sz w:val="32"/>
          <w:szCs w:val="32"/>
          <w:highlight w:val="none"/>
          <w:lang w:val="en-US" w:eastAsia="zh-CN"/>
        </w:rPr>
        <w:t>赴省外培训7天</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含报到与返程）。培训以提升全州普通高中教学改革与创新能力为主要目标，</w:t>
      </w:r>
      <w:r>
        <w:rPr>
          <w:rFonts w:hint="eastAsia" w:ascii="仿宋_GB2312" w:hAnsi="仿宋_GB2312" w:eastAsia="仿宋_GB2312" w:cs="仿宋_GB2312"/>
          <w:sz w:val="32"/>
          <w:szCs w:val="32"/>
          <w:highlight w:val="none"/>
        </w:rPr>
        <w:t>邀请知名专家、优秀一线教师等组成专家团队，通过专题讲座、案例教学、</w:t>
      </w:r>
      <w:r>
        <w:rPr>
          <w:rFonts w:hint="eastAsia" w:ascii="仿宋_GB2312" w:hAnsi="仿宋_GB2312" w:eastAsia="仿宋_GB2312" w:cs="仿宋_GB2312"/>
          <w:sz w:val="32"/>
          <w:szCs w:val="32"/>
          <w:highlight w:val="none"/>
          <w:lang w:eastAsia="zh-CN"/>
        </w:rPr>
        <w:t>现场教学</w:t>
      </w:r>
      <w:r>
        <w:rPr>
          <w:rFonts w:hint="eastAsia" w:ascii="仿宋_GB2312" w:hAnsi="仿宋_GB2312" w:eastAsia="仿宋_GB2312" w:cs="仿宋_GB2312"/>
          <w:sz w:val="32"/>
          <w:szCs w:val="32"/>
          <w:highlight w:val="none"/>
        </w:rPr>
        <w:t>、交流研讨等方式</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学习</w:t>
      </w:r>
      <w:r>
        <w:rPr>
          <w:rFonts w:hint="eastAsia" w:ascii="仿宋_GB2312" w:hAnsi="仿宋_GB2312" w:eastAsia="仿宋_GB2312" w:cs="仿宋_GB2312"/>
          <w:sz w:val="32"/>
          <w:szCs w:val="32"/>
          <w:highlight w:val="none"/>
          <w:lang w:eastAsia="zh-CN"/>
        </w:rPr>
        <w:t>在</w:t>
      </w:r>
      <w:r>
        <w:rPr>
          <w:rFonts w:hint="eastAsia" w:ascii="仿宋_GB2312" w:hAnsi="仿宋_GB2312" w:eastAsia="仿宋_GB2312" w:cs="仿宋_GB2312"/>
          <w:sz w:val="32"/>
          <w:szCs w:val="32"/>
          <w:highlight w:val="none"/>
        </w:rPr>
        <w:t>推进</w:t>
      </w:r>
      <w:r>
        <w:rPr>
          <w:rFonts w:hint="eastAsia" w:ascii="仿宋_GB2312" w:hAnsi="仿宋_GB2312" w:eastAsia="仿宋_GB2312" w:cs="仿宋_GB2312"/>
          <w:sz w:val="32"/>
          <w:szCs w:val="32"/>
          <w:highlight w:val="none"/>
          <w:lang w:eastAsia="zh-CN"/>
        </w:rPr>
        <w:t>新课程、</w:t>
      </w:r>
      <w:r>
        <w:rPr>
          <w:rFonts w:hint="eastAsia" w:ascii="仿宋_GB2312" w:hAnsi="仿宋_GB2312" w:eastAsia="仿宋_GB2312" w:cs="仿宋_GB2312"/>
          <w:sz w:val="32"/>
          <w:szCs w:val="32"/>
          <w:highlight w:val="none"/>
        </w:rPr>
        <w:t>新高考改革领域的先进经验</w:t>
      </w:r>
      <w:r>
        <w:rPr>
          <w:rFonts w:hint="eastAsia" w:ascii="仿宋_GB2312" w:hAnsi="仿宋_GB2312" w:eastAsia="仿宋_GB2312" w:cs="仿宋_GB2312"/>
          <w:sz w:val="32"/>
          <w:szCs w:val="32"/>
          <w:highlight w:val="none"/>
          <w:lang w:eastAsia="zh-CN"/>
        </w:rPr>
        <w:t>和创新</w:t>
      </w:r>
      <w:r>
        <w:rPr>
          <w:rFonts w:hint="eastAsia" w:ascii="仿宋_GB2312" w:hAnsi="仿宋_GB2312" w:eastAsia="仿宋_GB2312" w:cs="仿宋_GB2312"/>
          <w:sz w:val="32"/>
          <w:szCs w:val="32"/>
          <w:highlight w:val="none"/>
        </w:rPr>
        <w:t>做法，</w:t>
      </w:r>
      <w:r>
        <w:rPr>
          <w:rFonts w:hint="eastAsia" w:ascii="仿宋_GB2312" w:hAnsi="仿宋_GB2312" w:eastAsia="仿宋_GB2312" w:cs="仿宋_GB2312"/>
          <w:sz w:val="32"/>
          <w:szCs w:val="32"/>
          <w:highlight w:val="none"/>
          <w:lang w:eastAsia="zh-CN"/>
        </w:rPr>
        <w:t>全面</w:t>
      </w:r>
      <w:r>
        <w:rPr>
          <w:rFonts w:hint="eastAsia" w:ascii="仿宋_GB2312" w:hAnsi="仿宋_GB2312" w:eastAsia="仿宋_GB2312" w:cs="仿宋_GB2312"/>
          <w:sz w:val="32"/>
          <w:szCs w:val="32"/>
          <w:highlight w:val="none"/>
          <w:lang w:val="en-US" w:eastAsia="zh-CN"/>
        </w:rPr>
        <w:t>提高全州各高中的新课程、新高考改革理解力和执行力，争取我州2026年新高考成绩稳中有升，保障广大考生切身利益，维护社会舆论稳定。</w:t>
      </w:r>
    </w:p>
    <w:p w14:paraId="2C0C87FA">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240" w:lineRule="auto"/>
        <w:ind w:leftChars="0"/>
        <w:jc w:val="both"/>
        <w:textAlignment w:val="auto"/>
        <w:rPr>
          <w:rFonts w:hint="eastAsia" w:ascii="仿宋" w:hAnsi="仿宋" w:eastAsia="仿宋" w:cs="仿宋"/>
          <w:sz w:val="32"/>
          <w:szCs w:val="32"/>
          <w:lang w:val="en-US" w:eastAsia="zh-CN"/>
        </w:rPr>
      </w:pPr>
    </w:p>
    <w:sectPr>
      <w:footerReference r:id="rId3" w:type="default"/>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37066975"/>
      <w:docPartObj>
        <w:docPartGallery w:val="autotext"/>
      </w:docPartObj>
    </w:sdtPr>
    <w:sdtContent>
      <w:p w14:paraId="28AA9283">
        <w:pPr>
          <w:pStyle w:val="9"/>
          <w:jc w:val="center"/>
        </w:pPr>
        <w:r>
          <w:fldChar w:fldCharType="begin"/>
        </w:r>
        <w:r>
          <w:instrText xml:space="preserve">PAGE   \* MERGEFORMAT</w:instrText>
        </w:r>
        <w:r>
          <w:fldChar w:fldCharType="separate"/>
        </w:r>
        <w:r>
          <w:rPr>
            <w:lang w:val="zh-CN"/>
          </w:rPr>
          <w:t>21</w:t>
        </w:r>
        <w:r>
          <w:fldChar w:fldCharType="end"/>
        </w:r>
      </w:p>
    </w:sdtContent>
  </w:sdt>
  <w:p w14:paraId="6488B737">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1C3A37"/>
    <w:multiLevelType w:val="singleLevel"/>
    <w:tmpl w:val="0E1C3A37"/>
    <w:lvl w:ilvl="0" w:tentative="0">
      <w:start w:val="1"/>
      <w:numFmt w:val="chineseCounting"/>
      <w:suff w:val="nothing"/>
      <w:lvlText w:val="%1、"/>
      <w:lvlJc w:val="left"/>
      <w:pPr>
        <w:ind w:left="64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k3ZTZkN2JhMDdiODZjYWEwM2IxYzg2N2ZhODVjMzYifQ=="/>
  </w:docVars>
  <w:rsids>
    <w:rsidRoot w:val="00115599"/>
    <w:rsid w:val="00003D34"/>
    <w:rsid w:val="00026F23"/>
    <w:rsid w:val="000360B9"/>
    <w:rsid w:val="00041434"/>
    <w:rsid w:val="00067BC8"/>
    <w:rsid w:val="00091B26"/>
    <w:rsid w:val="00094F5F"/>
    <w:rsid w:val="000959DF"/>
    <w:rsid w:val="000C3BA0"/>
    <w:rsid w:val="000D2B0B"/>
    <w:rsid w:val="00112E2C"/>
    <w:rsid w:val="00115599"/>
    <w:rsid w:val="00124F00"/>
    <w:rsid w:val="00140488"/>
    <w:rsid w:val="00152743"/>
    <w:rsid w:val="001570DC"/>
    <w:rsid w:val="00157B73"/>
    <w:rsid w:val="001675CC"/>
    <w:rsid w:val="001743C7"/>
    <w:rsid w:val="00183876"/>
    <w:rsid w:val="001861A0"/>
    <w:rsid w:val="00187C7D"/>
    <w:rsid w:val="001B0EAC"/>
    <w:rsid w:val="001E7D26"/>
    <w:rsid w:val="001F3594"/>
    <w:rsid w:val="0020065D"/>
    <w:rsid w:val="00212613"/>
    <w:rsid w:val="00223A3C"/>
    <w:rsid w:val="00230E4F"/>
    <w:rsid w:val="00247854"/>
    <w:rsid w:val="002A14F8"/>
    <w:rsid w:val="002A165B"/>
    <w:rsid w:val="00315444"/>
    <w:rsid w:val="00315E78"/>
    <w:rsid w:val="0032633A"/>
    <w:rsid w:val="00335DEE"/>
    <w:rsid w:val="00374201"/>
    <w:rsid w:val="003832E7"/>
    <w:rsid w:val="00391E7A"/>
    <w:rsid w:val="003971FB"/>
    <w:rsid w:val="003A6C6A"/>
    <w:rsid w:val="003B6DC5"/>
    <w:rsid w:val="003E692E"/>
    <w:rsid w:val="003F659C"/>
    <w:rsid w:val="003F699B"/>
    <w:rsid w:val="00406221"/>
    <w:rsid w:val="00421A34"/>
    <w:rsid w:val="004253F8"/>
    <w:rsid w:val="00452A7D"/>
    <w:rsid w:val="00496DC4"/>
    <w:rsid w:val="004D5146"/>
    <w:rsid w:val="004E5E3A"/>
    <w:rsid w:val="004F319A"/>
    <w:rsid w:val="005249F0"/>
    <w:rsid w:val="00537E6E"/>
    <w:rsid w:val="00575647"/>
    <w:rsid w:val="00580F9A"/>
    <w:rsid w:val="005A1677"/>
    <w:rsid w:val="005A39E1"/>
    <w:rsid w:val="005B2CEC"/>
    <w:rsid w:val="005B52C8"/>
    <w:rsid w:val="005D1729"/>
    <w:rsid w:val="005E38A3"/>
    <w:rsid w:val="005E5A51"/>
    <w:rsid w:val="00600A01"/>
    <w:rsid w:val="00622414"/>
    <w:rsid w:val="006372A2"/>
    <w:rsid w:val="006728FB"/>
    <w:rsid w:val="006825B8"/>
    <w:rsid w:val="006E33C7"/>
    <w:rsid w:val="006F70DA"/>
    <w:rsid w:val="00726105"/>
    <w:rsid w:val="007312EF"/>
    <w:rsid w:val="00744548"/>
    <w:rsid w:val="007E7E72"/>
    <w:rsid w:val="0084321C"/>
    <w:rsid w:val="008511B9"/>
    <w:rsid w:val="0085221B"/>
    <w:rsid w:val="008606E4"/>
    <w:rsid w:val="008677CF"/>
    <w:rsid w:val="008A32BF"/>
    <w:rsid w:val="008A423C"/>
    <w:rsid w:val="008C0CA7"/>
    <w:rsid w:val="008C4AA9"/>
    <w:rsid w:val="008D699F"/>
    <w:rsid w:val="00903EE8"/>
    <w:rsid w:val="009044E5"/>
    <w:rsid w:val="009071B3"/>
    <w:rsid w:val="009273F5"/>
    <w:rsid w:val="00934EF3"/>
    <w:rsid w:val="00964239"/>
    <w:rsid w:val="00990641"/>
    <w:rsid w:val="009A0271"/>
    <w:rsid w:val="009A0B63"/>
    <w:rsid w:val="009C1DEB"/>
    <w:rsid w:val="009F07CA"/>
    <w:rsid w:val="00A275E7"/>
    <w:rsid w:val="00A61249"/>
    <w:rsid w:val="00A90F6E"/>
    <w:rsid w:val="00AA270F"/>
    <w:rsid w:val="00AC0ECE"/>
    <w:rsid w:val="00AC507C"/>
    <w:rsid w:val="00AF6AC4"/>
    <w:rsid w:val="00B15EBB"/>
    <w:rsid w:val="00B77428"/>
    <w:rsid w:val="00B91C7A"/>
    <w:rsid w:val="00B97E30"/>
    <w:rsid w:val="00BB7800"/>
    <w:rsid w:val="00C021FF"/>
    <w:rsid w:val="00C066F2"/>
    <w:rsid w:val="00C072DC"/>
    <w:rsid w:val="00C2393D"/>
    <w:rsid w:val="00C46E01"/>
    <w:rsid w:val="00C5149E"/>
    <w:rsid w:val="00C61078"/>
    <w:rsid w:val="00CB01A4"/>
    <w:rsid w:val="00CC2672"/>
    <w:rsid w:val="00CC58B0"/>
    <w:rsid w:val="00CE7744"/>
    <w:rsid w:val="00D00EC4"/>
    <w:rsid w:val="00D06E39"/>
    <w:rsid w:val="00D0774A"/>
    <w:rsid w:val="00D116E7"/>
    <w:rsid w:val="00D309CF"/>
    <w:rsid w:val="00D845CE"/>
    <w:rsid w:val="00DF6A49"/>
    <w:rsid w:val="00E031FF"/>
    <w:rsid w:val="00E92C34"/>
    <w:rsid w:val="00E9732C"/>
    <w:rsid w:val="00EB2248"/>
    <w:rsid w:val="00EB72B1"/>
    <w:rsid w:val="00EF4726"/>
    <w:rsid w:val="00F03517"/>
    <w:rsid w:val="00F046D6"/>
    <w:rsid w:val="00F753BC"/>
    <w:rsid w:val="00F923F6"/>
    <w:rsid w:val="00F9664E"/>
    <w:rsid w:val="00FB0212"/>
    <w:rsid w:val="00FB43D6"/>
    <w:rsid w:val="00FD0A02"/>
    <w:rsid w:val="00FE3844"/>
    <w:rsid w:val="00FF010B"/>
    <w:rsid w:val="00FF626D"/>
    <w:rsid w:val="0312255D"/>
    <w:rsid w:val="035D7813"/>
    <w:rsid w:val="03734AAB"/>
    <w:rsid w:val="05B82B96"/>
    <w:rsid w:val="08B71E4A"/>
    <w:rsid w:val="09A729D1"/>
    <w:rsid w:val="0C5707EF"/>
    <w:rsid w:val="0D335B37"/>
    <w:rsid w:val="0FFC672D"/>
    <w:rsid w:val="11251A80"/>
    <w:rsid w:val="13A0224B"/>
    <w:rsid w:val="18363055"/>
    <w:rsid w:val="1878271E"/>
    <w:rsid w:val="193F4A67"/>
    <w:rsid w:val="195D09F1"/>
    <w:rsid w:val="1A5B175B"/>
    <w:rsid w:val="1BA13B50"/>
    <w:rsid w:val="1C807561"/>
    <w:rsid w:val="1D5A3C50"/>
    <w:rsid w:val="20101902"/>
    <w:rsid w:val="207215AC"/>
    <w:rsid w:val="220E4A8A"/>
    <w:rsid w:val="231255B1"/>
    <w:rsid w:val="23AE0BCF"/>
    <w:rsid w:val="23BB1BC7"/>
    <w:rsid w:val="28500AEE"/>
    <w:rsid w:val="289D055E"/>
    <w:rsid w:val="28C20241"/>
    <w:rsid w:val="2C73267F"/>
    <w:rsid w:val="3AC423BF"/>
    <w:rsid w:val="3E7A2C45"/>
    <w:rsid w:val="3FBE61D8"/>
    <w:rsid w:val="412B64E2"/>
    <w:rsid w:val="41EC1903"/>
    <w:rsid w:val="428009B8"/>
    <w:rsid w:val="43B460ED"/>
    <w:rsid w:val="44474FD2"/>
    <w:rsid w:val="46F830D3"/>
    <w:rsid w:val="49254556"/>
    <w:rsid w:val="49717661"/>
    <w:rsid w:val="4ABC7382"/>
    <w:rsid w:val="4DA051E3"/>
    <w:rsid w:val="4E6D3D22"/>
    <w:rsid w:val="5424111C"/>
    <w:rsid w:val="56D025AE"/>
    <w:rsid w:val="57C24973"/>
    <w:rsid w:val="5AE87792"/>
    <w:rsid w:val="5C3224D0"/>
    <w:rsid w:val="63A44AAA"/>
    <w:rsid w:val="670A723D"/>
    <w:rsid w:val="67FB48D6"/>
    <w:rsid w:val="6B2B7BA5"/>
    <w:rsid w:val="6B57245E"/>
    <w:rsid w:val="6B6260DC"/>
    <w:rsid w:val="6CD54B53"/>
    <w:rsid w:val="703E0D75"/>
    <w:rsid w:val="766D065B"/>
    <w:rsid w:val="77687DAD"/>
    <w:rsid w:val="7DBD2BFE"/>
    <w:rsid w:val="7FBC4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5">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18"/>
    <w:unhideWhenUsed/>
    <w:qFormat/>
    <w:uiPriority w:val="9"/>
    <w:pPr>
      <w:keepNext/>
      <w:keepLines/>
      <w:adjustRightInd w:val="0"/>
      <w:spacing w:line="415" w:lineRule="auto"/>
      <w:outlineLvl w:val="1"/>
    </w:pPr>
    <w:rPr>
      <w:rFonts w:eastAsia="黑体" w:asciiTheme="majorHAnsi" w:hAnsiTheme="majorHAnsi" w:cstheme="majorBidi"/>
      <w:bCs/>
      <w:sz w:val="32"/>
      <w:szCs w:val="32"/>
    </w:rPr>
  </w:style>
  <w:style w:type="paragraph" w:styleId="7">
    <w:name w:val="heading 3"/>
    <w:basedOn w:val="1"/>
    <w:next w:val="1"/>
    <w:link w:val="21"/>
    <w:unhideWhenUsed/>
    <w:qFormat/>
    <w:uiPriority w:val="9"/>
    <w:pPr>
      <w:keepNext/>
      <w:keepLines/>
      <w:spacing w:line="415" w:lineRule="auto"/>
      <w:outlineLvl w:val="2"/>
    </w:pPr>
    <w:rPr>
      <w:rFonts w:eastAsia="楷体_GB2312"/>
      <w:b/>
      <w:bCs/>
      <w:color w:val="000000" w:themeColor="text1"/>
      <w:sz w:val="32"/>
      <w:szCs w:val="32"/>
      <w14:textFill>
        <w14:solidFill>
          <w14:schemeClr w14:val="tx1"/>
        </w14:solidFill>
      </w14:textFill>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semiHidden/>
    <w:unhideWhenUsed/>
    <w:qFormat/>
    <w:uiPriority w:val="99"/>
    <w:pPr>
      <w:ind w:firstLine="420" w:firstLineChars="100"/>
    </w:pPr>
  </w:style>
  <w:style w:type="paragraph" w:styleId="3">
    <w:name w:val="Body Text"/>
    <w:basedOn w:val="1"/>
    <w:next w:val="4"/>
    <w:semiHidden/>
    <w:unhideWhenUsed/>
    <w:qFormat/>
    <w:uiPriority w:val="99"/>
    <w:pPr>
      <w:spacing w:after="120" w:afterLines="0" w:afterAutospacing="0"/>
    </w:pPr>
  </w:style>
  <w:style w:type="paragraph" w:styleId="4">
    <w:name w:val="Body Text Indent"/>
    <w:basedOn w:val="1"/>
    <w:qFormat/>
    <w:uiPriority w:val="0"/>
    <w:pPr>
      <w:ind w:firstLine="830" w:firstLineChars="352"/>
    </w:pPr>
    <w:rPr>
      <w:rFonts w:ascii="仿宋_GB2312" w:eastAsia="仿宋_GB2312"/>
      <w:sz w:val="32"/>
      <w:szCs w:val="20"/>
    </w:rPr>
  </w:style>
  <w:style w:type="paragraph" w:styleId="8">
    <w:name w:val="annotation text"/>
    <w:basedOn w:val="1"/>
    <w:link w:val="22"/>
    <w:semiHidden/>
    <w:unhideWhenUsed/>
    <w:qFormat/>
    <w:uiPriority w:val="99"/>
    <w:pPr>
      <w:jc w:val="left"/>
    </w:pPr>
  </w:style>
  <w:style w:type="paragraph" w:styleId="9">
    <w:name w:val="footer"/>
    <w:basedOn w:val="1"/>
    <w:link w:val="1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0">
    <w:name w:val="header"/>
    <w:basedOn w:val="1"/>
    <w:link w:val="1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1">
    <w:name w:val="annotation subject"/>
    <w:basedOn w:val="8"/>
    <w:next w:val="8"/>
    <w:link w:val="23"/>
    <w:semiHidden/>
    <w:unhideWhenUsed/>
    <w:qFormat/>
    <w:uiPriority w:val="99"/>
    <w:rPr>
      <w:b/>
      <w:bCs/>
    </w:rPr>
  </w:style>
  <w:style w:type="character" w:styleId="14">
    <w:name w:val="Hyperlink"/>
    <w:basedOn w:val="13"/>
    <w:semiHidden/>
    <w:unhideWhenUsed/>
    <w:qFormat/>
    <w:uiPriority w:val="99"/>
    <w:rPr>
      <w:color w:val="0000FF"/>
      <w:u w:val="single"/>
    </w:rPr>
  </w:style>
  <w:style w:type="character" w:styleId="15">
    <w:name w:val="annotation reference"/>
    <w:basedOn w:val="13"/>
    <w:semiHidden/>
    <w:unhideWhenUsed/>
    <w:qFormat/>
    <w:uiPriority w:val="99"/>
    <w:rPr>
      <w:sz w:val="21"/>
      <w:szCs w:val="21"/>
    </w:rPr>
  </w:style>
  <w:style w:type="character" w:customStyle="1" w:styleId="16">
    <w:name w:val="页眉 Char"/>
    <w:basedOn w:val="13"/>
    <w:link w:val="10"/>
    <w:qFormat/>
    <w:uiPriority w:val="99"/>
    <w:rPr>
      <w:sz w:val="18"/>
      <w:szCs w:val="18"/>
    </w:rPr>
  </w:style>
  <w:style w:type="character" w:customStyle="1" w:styleId="17">
    <w:name w:val="页脚 Char"/>
    <w:basedOn w:val="13"/>
    <w:link w:val="9"/>
    <w:qFormat/>
    <w:uiPriority w:val="99"/>
    <w:rPr>
      <w:sz w:val="18"/>
      <w:szCs w:val="18"/>
    </w:rPr>
  </w:style>
  <w:style w:type="character" w:customStyle="1" w:styleId="18">
    <w:name w:val="标题 2 Char"/>
    <w:basedOn w:val="13"/>
    <w:link w:val="6"/>
    <w:qFormat/>
    <w:uiPriority w:val="9"/>
    <w:rPr>
      <w:rFonts w:eastAsia="黑体" w:asciiTheme="majorHAnsi" w:hAnsiTheme="majorHAnsi" w:cstheme="majorBidi"/>
      <w:bCs/>
      <w:sz w:val="32"/>
      <w:szCs w:val="32"/>
    </w:rPr>
  </w:style>
  <w:style w:type="character" w:customStyle="1" w:styleId="19">
    <w:name w:val="标题 1 Char"/>
    <w:basedOn w:val="13"/>
    <w:link w:val="5"/>
    <w:qFormat/>
    <w:uiPriority w:val="9"/>
    <w:rPr>
      <w:rFonts w:ascii="Calibri" w:hAnsi="Calibri" w:eastAsia="宋体" w:cs="Times New Roman"/>
      <w:b/>
      <w:bCs/>
      <w:kern w:val="44"/>
      <w:sz w:val="44"/>
      <w:szCs w:val="44"/>
    </w:rPr>
  </w:style>
  <w:style w:type="paragraph" w:styleId="20">
    <w:name w:val="List Paragraph"/>
    <w:basedOn w:val="1"/>
    <w:qFormat/>
    <w:uiPriority w:val="34"/>
    <w:pPr>
      <w:ind w:firstLine="420" w:firstLineChars="200"/>
    </w:pPr>
  </w:style>
  <w:style w:type="character" w:customStyle="1" w:styleId="21">
    <w:name w:val="标题 3 Char"/>
    <w:basedOn w:val="13"/>
    <w:link w:val="7"/>
    <w:qFormat/>
    <w:uiPriority w:val="9"/>
    <w:rPr>
      <w:rFonts w:ascii="Calibri" w:hAnsi="Calibri" w:eastAsia="楷体_GB2312" w:cs="Times New Roman"/>
      <w:b/>
      <w:bCs/>
      <w:color w:val="000000" w:themeColor="text1"/>
      <w:sz w:val="32"/>
      <w:szCs w:val="32"/>
      <w14:textFill>
        <w14:solidFill>
          <w14:schemeClr w14:val="tx1"/>
        </w14:solidFill>
      </w14:textFill>
    </w:rPr>
  </w:style>
  <w:style w:type="character" w:customStyle="1" w:styleId="22">
    <w:name w:val="批注文字 Char"/>
    <w:basedOn w:val="13"/>
    <w:link w:val="8"/>
    <w:semiHidden/>
    <w:qFormat/>
    <w:uiPriority w:val="99"/>
    <w:rPr>
      <w:rFonts w:ascii="Calibri" w:hAnsi="Calibri" w:eastAsia="宋体" w:cs="Times New Roman"/>
      <w:szCs w:val="24"/>
    </w:rPr>
  </w:style>
  <w:style w:type="character" w:customStyle="1" w:styleId="23">
    <w:name w:val="批注主题 Char"/>
    <w:basedOn w:val="22"/>
    <w:link w:val="11"/>
    <w:semiHidden/>
    <w:qFormat/>
    <w:uiPriority w:val="99"/>
    <w:rPr>
      <w:rFonts w:ascii="Calibri" w:hAnsi="Calibri" w:eastAsia="宋体" w:cs="Times New Roman"/>
      <w:b/>
      <w:bCs/>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948</Words>
  <Characters>966</Characters>
  <Lines>101</Lines>
  <Paragraphs>28</Paragraphs>
  <TotalTime>0</TotalTime>
  <ScaleCrop>false</ScaleCrop>
  <LinksUpToDate>false</LinksUpToDate>
  <CharactersWithSpaces>978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2021-06-16T07:46:00Z</dcterms:created>
  <dc:creator>高实</dc:creator>
  <cp:lastModifiedBy>♡환이♡</cp:lastModifiedBy>
  <cp:lastPrinted>2021-06-10T14:47:00Z</cp:lastPrinted>
  <dcterms:modified xsi:type="dcterms:W3CDTF">2025-09-23T01:37:16Z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6F6F5619F9164EE6B248BF6DD3674ECB</vt:lpwstr>
  </property>
  <property fmtid="{D5CDD505-2E9C-101B-9397-08002B2CF9AE}" pid="4" name="commondata">
    <vt:lpwstr>eyJoZGlkIjoiMzljODNiYmQ1MTMwZGI3ZTI1NzM2OGU3YzFjMDI2MGQifQ==</vt:lpwstr>
  </property>
  <property fmtid="{D5CDD505-2E9C-101B-9397-08002B2CF9AE}" pid="5" name="KSOTemplateDocerSaveRecord">
    <vt:lpwstr>eyJoZGlkIjoiMzljODNiYmQ1MTMwZGI3ZTI1NzM2OGU3YzFjMDI2MGQiLCJ1c2VySWQiOiIzNTMwNjcyNzEifQ==</vt:lpwstr>
  </property>
</Properties>
</file>